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412" w:rsidRPr="00DF1E1A" w:rsidRDefault="00002AD7" w:rsidP="00197AB5">
      <w:pPr>
        <w:shd w:val="clear" w:color="auto" w:fill="FFFFFF"/>
        <w:spacing w:before="100" w:beforeAutospacing="1" w:after="100" w:afterAutospacing="1" w:line="240" w:lineRule="auto"/>
        <w:ind w:left="90"/>
        <w:jc w:val="center"/>
        <w:rPr>
          <w:rFonts w:ascii="Times New Roman" w:eastAsia="Times New Roman" w:hAnsi="Times New Roman" w:cs="Times New Roman"/>
          <w:b/>
          <w:bCs/>
          <w:sz w:val="32"/>
          <w:szCs w:val="32"/>
          <w:lang w:bidi="hi-IN"/>
        </w:rPr>
      </w:pPr>
      <w:r w:rsidRPr="00DF1E1A">
        <w:rPr>
          <w:rFonts w:ascii="Times New Roman" w:eastAsia="Times New Roman" w:hAnsi="Times New Roman" w:cs="Times New Roman"/>
          <w:b/>
          <w:bCs/>
          <w:sz w:val="32"/>
          <w:szCs w:val="32"/>
          <w:lang w:bidi="hi-IN"/>
        </w:rPr>
        <w:t xml:space="preserve">Role of </w:t>
      </w:r>
      <w:r w:rsidR="00197AB5" w:rsidRPr="002C75A1">
        <w:rPr>
          <w:rFonts w:ascii="Times New Roman" w:eastAsia="Times New Roman" w:hAnsi="Times New Roman" w:cs="Times New Roman"/>
          <w:b/>
          <w:bCs/>
          <w:sz w:val="32"/>
          <w:szCs w:val="32"/>
          <w:lang w:bidi="hi-IN"/>
        </w:rPr>
        <w:t>Urban Co-operative Banks</w:t>
      </w:r>
      <w:r w:rsidR="00197AB5" w:rsidRPr="00DF1E1A">
        <w:rPr>
          <w:rFonts w:ascii="Times New Roman" w:eastAsia="Times New Roman" w:hAnsi="Times New Roman" w:cs="Times New Roman"/>
          <w:b/>
          <w:bCs/>
          <w:sz w:val="32"/>
          <w:szCs w:val="32"/>
          <w:lang w:bidi="hi-IN"/>
        </w:rPr>
        <w:t xml:space="preserve"> in India</w:t>
      </w:r>
    </w:p>
    <w:p w:rsidR="00DF1E1A" w:rsidRPr="00197AB5" w:rsidRDefault="00DF1E1A" w:rsidP="00DF1E1A">
      <w:pPr>
        <w:shd w:val="clear" w:color="auto" w:fill="FFFFFF"/>
        <w:spacing w:before="100" w:beforeAutospacing="1" w:after="100" w:afterAutospacing="1" w:line="240" w:lineRule="auto"/>
        <w:ind w:left="90"/>
        <w:jc w:val="center"/>
        <w:rPr>
          <w:rFonts w:ascii="Times New Roman" w:eastAsia="Times New Roman" w:hAnsi="Times New Roman" w:cs="Times New Roman"/>
          <w:sz w:val="28"/>
          <w:szCs w:val="28"/>
          <w:lang w:bidi="hi-IN"/>
        </w:rPr>
      </w:pPr>
      <w:r>
        <w:rPr>
          <w:rFonts w:ascii="Times New Roman" w:eastAsia="Times New Roman" w:hAnsi="Times New Roman" w:cs="Times New Roman"/>
          <w:b/>
          <w:bCs/>
          <w:sz w:val="28"/>
          <w:szCs w:val="28"/>
          <w:lang w:bidi="hi-IN"/>
        </w:rPr>
        <w:t>Dr. Diksha Rani</w:t>
      </w:r>
      <w:r>
        <w:rPr>
          <w:rStyle w:val="FootnoteReference"/>
          <w:rFonts w:ascii="Times New Roman" w:eastAsia="Times New Roman" w:hAnsi="Times New Roman" w:cs="Times New Roman"/>
          <w:b/>
          <w:bCs/>
          <w:sz w:val="28"/>
          <w:szCs w:val="28"/>
          <w:lang w:bidi="hi-IN"/>
        </w:rPr>
        <w:footnoteReference w:id="2"/>
      </w:r>
      <w:r w:rsidR="008A452C">
        <w:rPr>
          <w:rFonts w:ascii="Times New Roman" w:eastAsia="Times New Roman" w:hAnsi="Times New Roman" w:cs="Times New Roman"/>
          <w:b/>
          <w:bCs/>
          <w:sz w:val="28"/>
          <w:szCs w:val="28"/>
          <w:lang w:bidi="hi-IN"/>
        </w:rPr>
        <w:t xml:space="preserve">* Dr. Manoj </w:t>
      </w:r>
      <w:r w:rsidR="00B43E53">
        <w:rPr>
          <w:rFonts w:ascii="Times New Roman" w:eastAsia="Times New Roman" w:hAnsi="Times New Roman" w:cs="Times New Roman"/>
          <w:b/>
          <w:bCs/>
          <w:sz w:val="28"/>
          <w:szCs w:val="28"/>
          <w:lang w:bidi="hi-IN"/>
        </w:rPr>
        <w:t xml:space="preserve">Kumar </w:t>
      </w:r>
      <w:r w:rsidR="008A452C">
        <w:rPr>
          <w:rFonts w:ascii="Times New Roman" w:eastAsia="Times New Roman" w:hAnsi="Times New Roman" w:cs="Times New Roman"/>
          <w:b/>
          <w:bCs/>
          <w:sz w:val="28"/>
          <w:szCs w:val="28"/>
          <w:lang w:bidi="hi-IN"/>
        </w:rPr>
        <w:t>Singh</w:t>
      </w:r>
      <w:r w:rsidR="008A452C">
        <w:rPr>
          <w:rStyle w:val="FootnoteReference"/>
          <w:rFonts w:ascii="Times New Roman" w:eastAsia="Times New Roman" w:hAnsi="Times New Roman" w:cs="Times New Roman"/>
          <w:b/>
          <w:bCs/>
          <w:sz w:val="28"/>
          <w:szCs w:val="28"/>
          <w:lang w:bidi="hi-IN"/>
        </w:rPr>
        <w:footnoteReference w:id="3"/>
      </w:r>
    </w:p>
    <w:p w:rsidR="00864F4E" w:rsidRPr="00DF1E1A" w:rsidRDefault="00864F4E" w:rsidP="00D14A30">
      <w:pPr>
        <w:shd w:val="clear" w:color="auto" w:fill="FFFFFF"/>
        <w:spacing w:before="100" w:beforeAutospacing="1" w:after="100" w:afterAutospacing="1" w:line="240" w:lineRule="auto"/>
        <w:ind w:left="90"/>
        <w:jc w:val="both"/>
        <w:rPr>
          <w:rFonts w:ascii="Times New Roman" w:eastAsia="Times New Roman" w:hAnsi="Times New Roman" w:cs="Times New Roman"/>
          <w:b/>
          <w:bCs/>
          <w:sz w:val="28"/>
          <w:szCs w:val="28"/>
          <w:lang w:bidi="hi-IN"/>
        </w:rPr>
      </w:pPr>
      <w:r w:rsidRPr="00DF1E1A">
        <w:rPr>
          <w:rFonts w:ascii="Times New Roman" w:eastAsia="Times New Roman" w:hAnsi="Times New Roman" w:cs="Times New Roman"/>
          <w:b/>
          <w:bCs/>
          <w:sz w:val="28"/>
          <w:szCs w:val="28"/>
          <w:lang w:bidi="hi-IN"/>
        </w:rPr>
        <w:t>Abstract</w:t>
      </w:r>
    </w:p>
    <w:p w:rsidR="00B027F3" w:rsidRDefault="00D21B50" w:rsidP="006D77EC">
      <w:pPr>
        <w:shd w:val="clear" w:color="auto" w:fill="FFFFFF"/>
        <w:spacing w:before="100" w:beforeAutospacing="1" w:after="100" w:afterAutospacing="1" w:line="360" w:lineRule="auto"/>
        <w:ind w:left="90"/>
        <w:jc w:val="both"/>
        <w:rPr>
          <w:rFonts w:ascii="Times New Roman" w:hAnsi="Times New Roman" w:cs="Times New Roman"/>
          <w:sz w:val="24"/>
          <w:szCs w:val="24"/>
        </w:rPr>
      </w:pPr>
      <w:r w:rsidRPr="006D77EC">
        <w:rPr>
          <w:rFonts w:ascii="Times New Roman" w:hAnsi="Times New Roman" w:cs="Times New Roman"/>
          <w:sz w:val="24"/>
          <w:szCs w:val="24"/>
        </w:rPr>
        <w:t xml:space="preserve">Urban Co-operative Bank plays a very important role for the development of any economy. UCBs provided various facilities to the society. This bank has also provided financial help to various sectors like education, health, social work, agriculture, rural development, wedding function, cottage and small scale manufacturing, retail, wholesale etc. Banks also finance the weaker segments. This article provides information on the history of the co-operative movement, how and when it was founded, the structure and importance of UCBs. </w:t>
      </w:r>
    </w:p>
    <w:p w:rsidR="00564EF3" w:rsidRPr="006D77EC" w:rsidRDefault="00D21B50" w:rsidP="00564EF3">
      <w:pPr>
        <w:shd w:val="clear" w:color="auto" w:fill="FFFFFF"/>
        <w:spacing w:before="100" w:beforeAutospacing="1" w:after="100" w:afterAutospacing="1" w:line="360" w:lineRule="auto"/>
        <w:ind w:left="90"/>
        <w:jc w:val="both"/>
        <w:rPr>
          <w:rFonts w:ascii="Times New Roman" w:hAnsi="Times New Roman" w:cs="Times New Roman"/>
          <w:sz w:val="24"/>
          <w:szCs w:val="24"/>
        </w:rPr>
      </w:pPr>
      <w:r w:rsidRPr="00564EF3">
        <w:rPr>
          <w:rFonts w:ascii="Times New Roman" w:hAnsi="Times New Roman" w:cs="Times New Roman"/>
          <w:sz w:val="24"/>
          <w:szCs w:val="24"/>
        </w:rPr>
        <w:t xml:space="preserve">It provides an overview of the role of cooperative banking in the banking sector. </w:t>
      </w:r>
      <w:r w:rsidR="00B027F3" w:rsidRPr="00564EF3">
        <w:rPr>
          <w:rFonts w:ascii="Times New Roman" w:hAnsi="Times New Roman" w:cs="Times New Roman"/>
          <w:sz w:val="24"/>
          <w:szCs w:val="24"/>
        </w:rPr>
        <w:t xml:space="preserve"> The </w:t>
      </w:r>
      <w:r w:rsidR="00564EF3" w:rsidRPr="00564EF3">
        <w:rPr>
          <w:rFonts w:ascii="Times New Roman" w:hAnsi="Times New Roman" w:cs="Times New Roman"/>
          <w:sz w:val="24"/>
          <w:szCs w:val="24"/>
        </w:rPr>
        <w:t>objectives of this research are</w:t>
      </w:r>
      <w:r w:rsidR="00B027F3" w:rsidRPr="00564EF3">
        <w:rPr>
          <w:rFonts w:ascii="Times New Roman" w:hAnsi="Times New Roman" w:cs="Times New Roman"/>
          <w:sz w:val="24"/>
          <w:szCs w:val="24"/>
        </w:rPr>
        <w:t xml:space="preserve"> </w:t>
      </w:r>
      <w:r w:rsidR="00564EF3" w:rsidRPr="00564EF3">
        <w:rPr>
          <w:rFonts w:ascii="Times New Roman" w:hAnsi="Times New Roman" w:cs="Times New Roman"/>
          <w:color w:val="000000" w:themeColor="text1"/>
          <w:sz w:val="24"/>
          <w:szCs w:val="24"/>
        </w:rPr>
        <w:t>to</w:t>
      </w:r>
      <w:r w:rsidR="00B027F3" w:rsidRPr="00564EF3">
        <w:rPr>
          <w:rFonts w:ascii="Times New Roman" w:hAnsi="Times New Roman" w:cs="Times New Roman"/>
          <w:color w:val="000000" w:themeColor="text1"/>
          <w:sz w:val="24"/>
          <w:szCs w:val="24"/>
        </w:rPr>
        <w:t xml:space="preserve"> understand the structure </w:t>
      </w:r>
      <w:r w:rsidR="00564EF3" w:rsidRPr="00564EF3">
        <w:rPr>
          <w:rFonts w:ascii="Times New Roman" w:hAnsi="Times New Roman" w:cs="Times New Roman"/>
          <w:color w:val="000000" w:themeColor="text1"/>
          <w:sz w:val="24"/>
          <w:szCs w:val="24"/>
        </w:rPr>
        <w:t>and find out the role of urban co-operative banks in financing priority sectors and weaker sections.</w:t>
      </w:r>
      <w:r w:rsidR="00564EF3">
        <w:rPr>
          <w:rFonts w:ascii="Times New Roman" w:hAnsi="Times New Roman" w:cs="Times New Roman"/>
          <w:color w:val="000000" w:themeColor="text1"/>
          <w:sz w:val="24"/>
          <w:szCs w:val="24"/>
        </w:rPr>
        <w:t xml:space="preserve"> </w:t>
      </w:r>
      <w:r w:rsidR="00564EF3" w:rsidRPr="006D77EC">
        <w:rPr>
          <w:rFonts w:ascii="Times New Roman" w:hAnsi="Times New Roman" w:cs="Times New Roman"/>
          <w:sz w:val="24"/>
          <w:szCs w:val="24"/>
        </w:rPr>
        <w:t>This paper is based on secondary data and it include the Region wise UCBs data, top priority and weaker section wise data and find out the role of UCBs in development of India.</w:t>
      </w:r>
    </w:p>
    <w:p w:rsidR="006D77EC" w:rsidRPr="00564EF3" w:rsidRDefault="006D77EC" w:rsidP="00564EF3">
      <w:pPr>
        <w:shd w:val="clear" w:color="auto" w:fill="FFFFFF"/>
        <w:spacing w:before="100" w:beforeAutospacing="1" w:after="100" w:afterAutospacing="1" w:line="360" w:lineRule="auto"/>
        <w:jc w:val="both"/>
        <w:rPr>
          <w:rFonts w:ascii="Times New Roman" w:hAnsi="Times New Roman" w:cs="Times New Roman"/>
          <w:color w:val="000000" w:themeColor="text1"/>
          <w:sz w:val="24"/>
          <w:szCs w:val="24"/>
        </w:rPr>
      </w:pPr>
      <w:r w:rsidRPr="006D77EC">
        <w:rPr>
          <w:rFonts w:ascii="Times New Roman" w:hAnsi="Times New Roman" w:cs="Times New Roman"/>
          <w:b/>
          <w:bCs/>
          <w:sz w:val="24"/>
          <w:szCs w:val="24"/>
        </w:rPr>
        <w:t>Keywords:</w:t>
      </w:r>
      <w:r w:rsidRPr="006D77EC">
        <w:rPr>
          <w:rFonts w:ascii="Times New Roman" w:hAnsi="Times New Roman" w:cs="Times New Roman"/>
          <w:sz w:val="24"/>
          <w:szCs w:val="24"/>
        </w:rPr>
        <w:t xml:space="preserve"> Urban Co-operative Banks (UCBs), Economic Development, </w:t>
      </w:r>
      <w:r w:rsidR="00304101" w:rsidRPr="006D77EC">
        <w:rPr>
          <w:rFonts w:ascii="Times New Roman" w:hAnsi="Times New Roman" w:cs="Times New Roman"/>
          <w:sz w:val="24"/>
          <w:szCs w:val="24"/>
        </w:rPr>
        <w:t xml:space="preserve">Social </w:t>
      </w:r>
      <w:r w:rsidRPr="006D77EC">
        <w:rPr>
          <w:rFonts w:ascii="Times New Roman" w:hAnsi="Times New Roman" w:cs="Times New Roman"/>
          <w:sz w:val="24"/>
          <w:szCs w:val="24"/>
        </w:rPr>
        <w:t>Development</w:t>
      </w:r>
      <w:r w:rsidR="00564EF3">
        <w:rPr>
          <w:rFonts w:ascii="Times New Roman" w:hAnsi="Times New Roman" w:cs="Times New Roman"/>
          <w:sz w:val="24"/>
          <w:szCs w:val="24"/>
        </w:rPr>
        <w:t xml:space="preserve"> and MSMEs etc</w:t>
      </w:r>
      <w:r w:rsidRPr="006D77EC">
        <w:rPr>
          <w:rFonts w:ascii="Times New Roman" w:hAnsi="Times New Roman" w:cs="Times New Roman"/>
          <w:sz w:val="24"/>
          <w:szCs w:val="24"/>
        </w:rPr>
        <w:t>.</w:t>
      </w:r>
    </w:p>
    <w:p w:rsidR="00D21B50" w:rsidRDefault="00D21B50" w:rsidP="00D14A30">
      <w:pPr>
        <w:shd w:val="clear" w:color="auto" w:fill="FFFFFF"/>
        <w:spacing w:before="100" w:beforeAutospacing="1" w:after="100" w:afterAutospacing="1" w:line="240" w:lineRule="auto"/>
        <w:ind w:left="90"/>
        <w:jc w:val="both"/>
      </w:pPr>
    </w:p>
    <w:p w:rsidR="00D21B50" w:rsidRDefault="00D21B50" w:rsidP="00D14A30">
      <w:pPr>
        <w:shd w:val="clear" w:color="auto" w:fill="FFFFFF"/>
        <w:spacing w:before="100" w:beforeAutospacing="1" w:after="100" w:afterAutospacing="1" w:line="240" w:lineRule="auto"/>
        <w:ind w:left="90"/>
        <w:jc w:val="both"/>
      </w:pPr>
    </w:p>
    <w:p w:rsidR="00D21B50" w:rsidRDefault="00D21B50" w:rsidP="00D14A30">
      <w:pPr>
        <w:shd w:val="clear" w:color="auto" w:fill="FFFFFF"/>
        <w:spacing w:before="100" w:beforeAutospacing="1" w:after="100" w:afterAutospacing="1" w:line="240" w:lineRule="auto"/>
        <w:ind w:left="90"/>
        <w:jc w:val="both"/>
      </w:pPr>
    </w:p>
    <w:p w:rsidR="00864F4E" w:rsidRDefault="00864F4E" w:rsidP="00D14A30">
      <w:pPr>
        <w:shd w:val="clear" w:color="auto" w:fill="FFFFFF"/>
        <w:spacing w:before="100" w:beforeAutospacing="1" w:after="100" w:afterAutospacing="1" w:line="240" w:lineRule="auto"/>
        <w:ind w:left="90"/>
        <w:jc w:val="both"/>
        <w:rPr>
          <w:rFonts w:ascii="Times New Roman" w:eastAsia="Times New Roman" w:hAnsi="Times New Roman" w:cs="Times New Roman"/>
          <w:b/>
          <w:bCs/>
          <w:sz w:val="24"/>
          <w:szCs w:val="24"/>
          <w:lang w:bidi="hi-IN"/>
        </w:rPr>
      </w:pPr>
    </w:p>
    <w:p w:rsidR="00920C75" w:rsidRDefault="00920C75" w:rsidP="00D14A30">
      <w:pPr>
        <w:shd w:val="clear" w:color="auto" w:fill="FFFFFF"/>
        <w:spacing w:before="100" w:beforeAutospacing="1" w:after="100" w:afterAutospacing="1" w:line="240" w:lineRule="auto"/>
        <w:ind w:left="90"/>
        <w:jc w:val="both"/>
        <w:rPr>
          <w:rFonts w:ascii="Times New Roman" w:eastAsia="Times New Roman" w:hAnsi="Times New Roman" w:cs="Times New Roman"/>
          <w:b/>
          <w:bCs/>
          <w:sz w:val="24"/>
          <w:szCs w:val="24"/>
          <w:lang w:bidi="hi-IN"/>
        </w:rPr>
      </w:pPr>
    </w:p>
    <w:p w:rsidR="00920C75" w:rsidRDefault="00920C75" w:rsidP="00D14A30">
      <w:pPr>
        <w:shd w:val="clear" w:color="auto" w:fill="FFFFFF"/>
        <w:spacing w:before="100" w:beforeAutospacing="1" w:after="100" w:afterAutospacing="1" w:line="240" w:lineRule="auto"/>
        <w:ind w:left="90"/>
        <w:jc w:val="both"/>
        <w:rPr>
          <w:rFonts w:ascii="Times New Roman" w:eastAsia="Times New Roman" w:hAnsi="Times New Roman" w:cs="Times New Roman"/>
          <w:b/>
          <w:bCs/>
          <w:sz w:val="24"/>
          <w:szCs w:val="24"/>
          <w:lang w:bidi="hi-IN"/>
        </w:rPr>
      </w:pPr>
    </w:p>
    <w:p w:rsidR="00096A2E" w:rsidRPr="00817B10" w:rsidRDefault="00096A2E" w:rsidP="003B36C7">
      <w:pPr>
        <w:pStyle w:val="ListParagraph"/>
        <w:numPr>
          <w:ilvl w:val="0"/>
          <w:numId w:val="9"/>
        </w:numPr>
        <w:shd w:val="clear" w:color="auto" w:fill="FFFFFF"/>
        <w:spacing w:after="0" w:line="240" w:lineRule="auto"/>
        <w:ind w:left="360"/>
        <w:jc w:val="both"/>
        <w:rPr>
          <w:rFonts w:ascii="Times New Roman" w:eastAsia="Times New Roman" w:hAnsi="Times New Roman" w:cs="Times New Roman"/>
          <w:b/>
          <w:bCs/>
          <w:sz w:val="28"/>
          <w:szCs w:val="28"/>
          <w:lang w:bidi="hi-IN"/>
        </w:rPr>
      </w:pPr>
      <w:r w:rsidRPr="00817B10">
        <w:rPr>
          <w:rFonts w:ascii="Times New Roman" w:eastAsia="Times New Roman" w:hAnsi="Times New Roman" w:cs="Times New Roman"/>
          <w:b/>
          <w:bCs/>
          <w:sz w:val="28"/>
          <w:szCs w:val="28"/>
          <w:lang w:bidi="hi-IN"/>
        </w:rPr>
        <w:lastRenderedPageBreak/>
        <w:t>Introduction</w:t>
      </w:r>
    </w:p>
    <w:p w:rsidR="008664FB" w:rsidRDefault="00FB2412" w:rsidP="003D4C6D">
      <w:pPr>
        <w:shd w:val="clear" w:color="auto" w:fill="FFFFFF"/>
        <w:spacing w:before="100" w:beforeAutospacing="1" w:after="100" w:afterAutospacing="1" w:line="360" w:lineRule="auto"/>
        <w:ind w:left="90"/>
        <w:jc w:val="both"/>
        <w:rPr>
          <w:rFonts w:ascii="Times New Roman" w:eastAsia="Times New Roman" w:hAnsi="Times New Roman" w:cs="Times New Roman"/>
          <w:sz w:val="24"/>
          <w:szCs w:val="24"/>
          <w:lang w:bidi="hi-IN"/>
        </w:rPr>
      </w:pPr>
      <w:r w:rsidRPr="00FB2412">
        <w:rPr>
          <w:rFonts w:ascii="Times New Roman" w:eastAsia="Times New Roman" w:hAnsi="Times New Roman" w:cs="Times New Roman"/>
          <w:sz w:val="24"/>
          <w:szCs w:val="24"/>
          <w:lang w:bidi="hi-IN"/>
        </w:rPr>
        <w:t xml:space="preserve">The term Urban Co-operative Banks (UCB) refers to primary co-operative banks located in urban and semi-urban areas. Until 1996, these banks were only allowed to lend money for non-agricultural purposes. This distinction no longer applies today. Traditionally, these banks have focused on communities, localities and work groups. They provided loans mainly to small borrowers and </w:t>
      </w:r>
      <w:r w:rsidR="008664FB" w:rsidRPr="00FB2412">
        <w:rPr>
          <w:rFonts w:ascii="Times New Roman" w:eastAsia="Times New Roman" w:hAnsi="Times New Roman" w:cs="Times New Roman"/>
          <w:sz w:val="24"/>
          <w:szCs w:val="24"/>
          <w:lang w:bidi="hi-IN"/>
        </w:rPr>
        <w:t>businesses.</w:t>
      </w:r>
      <w:r w:rsidR="008664FB">
        <w:rPr>
          <w:rFonts w:ascii="Times New Roman" w:eastAsia="Times New Roman" w:hAnsi="Times New Roman" w:cs="Times New Roman"/>
          <w:sz w:val="24"/>
          <w:szCs w:val="24"/>
          <w:lang w:bidi="hi-IN"/>
        </w:rPr>
        <w:t xml:space="preserve"> </w:t>
      </w:r>
      <w:r w:rsidR="003D4C6D">
        <w:rPr>
          <w:rFonts w:ascii="Times New Roman" w:eastAsia="Times New Roman" w:hAnsi="Times New Roman" w:cs="Times New Roman"/>
          <w:sz w:val="24"/>
          <w:szCs w:val="24"/>
          <w:lang w:bidi="hi-IN"/>
        </w:rPr>
        <w:t>But today</w:t>
      </w:r>
      <w:r w:rsidR="008664FB" w:rsidRPr="008664FB">
        <w:rPr>
          <w:rFonts w:ascii="Times New Roman" w:eastAsia="Times New Roman" w:hAnsi="Times New Roman" w:cs="Times New Roman"/>
          <w:sz w:val="24"/>
          <w:szCs w:val="24"/>
          <w:lang w:bidi="hi-IN"/>
        </w:rPr>
        <w:t xml:space="preserve">, their scope has expanded considerably. </w:t>
      </w:r>
    </w:p>
    <w:p w:rsidR="003B36C7" w:rsidRPr="003B36C7" w:rsidRDefault="00096A2E" w:rsidP="00864F4E">
      <w:pPr>
        <w:shd w:val="clear" w:color="auto" w:fill="FFFFFF"/>
        <w:spacing w:after="0" w:line="360" w:lineRule="auto"/>
        <w:ind w:left="90"/>
        <w:jc w:val="both"/>
        <w:rPr>
          <w:rFonts w:ascii="Times New Roman" w:eastAsia="Times New Roman" w:hAnsi="Times New Roman" w:cs="Times New Roman"/>
          <w:b/>
          <w:bCs/>
          <w:sz w:val="24"/>
          <w:szCs w:val="24"/>
          <w:lang w:bidi="hi-IN"/>
        </w:rPr>
      </w:pPr>
      <w:r w:rsidRPr="003B36C7">
        <w:rPr>
          <w:rFonts w:ascii="Times New Roman" w:eastAsia="Times New Roman" w:hAnsi="Times New Roman" w:cs="Times New Roman"/>
          <w:b/>
          <w:bCs/>
          <w:sz w:val="24"/>
          <w:szCs w:val="24"/>
          <w:lang w:bidi="hi-IN"/>
        </w:rPr>
        <w:t xml:space="preserve">Urban Cooperative Banks (UCBs) </w:t>
      </w:r>
    </w:p>
    <w:p w:rsidR="00096A2E" w:rsidRPr="00D14A30" w:rsidRDefault="003B36C7" w:rsidP="00864F4E">
      <w:pPr>
        <w:shd w:val="clear" w:color="auto" w:fill="FFFFFF"/>
        <w:spacing w:after="0" w:line="360" w:lineRule="auto"/>
        <w:ind w:left="90"/>
        <w:jc w:val="both"/>
        <w:rPr>
          <w:rFonts w:ascii="Times New Roman" w:eastAsia="Times New Roman" w:hAnsi="Times New Roman" w:cs="Times New Roman"/>
          <w:sz w:val="24"/>
          <w:szCs w:val="24"/>
          <w:lang w:bidi="hi-IN"/>
        </w:rPr>
      </w:pPr>
      <w:r w:rsidRPr="00D14A30">
        <w:rPr>
          <w:rFonts w:ascii="Times New Roman" w:eastAsia="Times New Roman" w:hAnsi="Times New Roman" w:cs="Times New Roman"/>
          <w:sz w:val="24"/>
          <w:szCs w:val="24"/>
          <w:lang w:bidi="hi-IN"/>
        </w:rPr>
        <w:t xml:space="preserve">Urban Cooperative Banks (UCBs) </w:t>
      </w:r>
      <w:r w:rsidR="00096A2E" w:rsidRPr="00D14A30">
        <w:rPr>
          <w:rFonts w:ascii="Times New Roman" w:eastAsia="Times New Roman" w:hAnsi="Times New Roman" w:cs="Times New Roman"/>
          <w:sz w:val="24"/>
          <w:szCs w:val="24"/>
          <w:lang w:bidi="hi-IN"/>
        </w:rPr>
        <w:t>are financial institutions, its operating in urban and semi-urban areas in India. They are registered under the Cooperative Societies Act and the functions as cooperative entities owned and operated by their members.</w:t>
      </w:r>
      <w:r w:rsidR="00864F4E">
        <w:rPr>
          <w:rFonts w:ascii="Times New Roman" w:eastAsia="Times New Roman" w:hAnsi="Times New Roman" w:cs="Times New Roman"/>
          <w:sz w:val="24"/>
          <w:szCs w:val="24"/>
          <w:lang w:bidi="hi-IN"/>
        </w:rPr>
        <w:t xml:space="preserve"> </w:t>
      </w:r>
      <w:r w:rsidR="00096A2E" w:rsidRPr="00D14A30">
        <w:rPr>
          <w:rFonts w:ascii="Times New Roman" w:eastAsia="Times New Roman" w:hAnsi="Times New Roman" w:cs="Times New Roman"/>
          <w:sz w:val="24"/>
          <w:szCs w:val="24"/>
          <w:lang w:bidi="hi-IN"/>
        </w:rPr>
        <w:t>UCBs provide a wide range of banking services to their members and customers. It’s including deposit accounts, loans, remittances, and other financial products and services. They primarily serve the banking needs of small businesses, individuals, and communities in urban areas.</w:t>
      </w:r>
    </w:p>
    <w:p w:rsidR="00096A2E" w:rsidRDefault="00096A2E" w:rsidP="00096A2E">
      <w:pPr>
        <w:shd w:val="clear" w:color="auto" w:fill="FFFFFF"/>
        <w:spacing w:before="100" w:beforeAutospacing="1" w:after="100" w:afterAutospacing="1" w:line="240" w:lineRule="auto"/>
        <w:jc w:val="both"/>
        <w:rPr>
          <w:rFonts w:ascii="Times New Roman" w:hAnsi="Times New Roman" w:cs="Times New Roman"/>
          <w:sz w:val="24"/>
          <w:szCs w:val="24"/>
        </w:rPr>
      </w:pPr>
      <w:r w:rsidRPr="00D14A30">
        <w:rPr>
          <w:rFonts w:ascii="Times New Roman" w:hAnsi="Times New Roman" w:cs="Times New Roman"/>
          <w:b/>
          <w:bCs/>
          <w:sz w:val="24"/>
          <w:szCs w:val="24"/>
        </w:rPr>
        <w:t>Origin &amp; Development of Urban Co-operative Banks in India (UCBs)</w:t>
      </w:r>
      <w:r w:rsidRPr="00D14A30">
        <w:rPr>
          <w:rFonts w:ascii="Times New Roman" w:hAnsi="Times New Roman" w:cs="Times New Roman"/>
          <w:sz w:val="24"/>
          <w:szCs w:val="24"/>
        </w:rPr>
        <w:t xml:space="preserve"> </w:t>
      </w:r>
    </w:p>
    <w:p w:rsidR="00E97B52" w:rsidRDefault="00E97B52" w:rsidP="003D4C6D">
      <w:pPr>
        <w:shd w:val="clear" w:color="auto" w:fill="FFFFFF"/>
        <w:spacing w:before="100" w:beforeAutospacing="1" w:after="100" w:afterAutospacing="1" w:line="360" w:lineRule="auto"/>
        <w:ind w:left="90"/>
        <w:jc w:val="both"/>
        <w:rPr>
          <w:rFonts w:ascii="Times New Roman" w:eastAsia="Times New Roman" w:hAnsi="Times New Roman" w:cs="Times New Roman"/>
          <w:sz w:val="24"/>
          <w:szCs w:val="24"/>
          <w:lang w:bidi="hi-IN"/>
        </w:rPr>
      </w:pPr>
      <w:r w:rsidRPr="008664FB">
        <w:rPr>
          <w:rFonts w:ascii="Times New Roman" w:eastAsia="Times New Roman" w:hAnsi="Times New Roman" w:cs="Times New Roman"/>
          <w:sz w:val="24"/>
          <w:szCs w:val="24"/>
          <w:lang w:bidi="hi-IN"/>
        </w:rPr>
        <w:t>The</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beginnings of the urban cooperative banking movement in India can be traced back to the end of the year</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nineteenth century when, inspired by the success of experiments related to the cooperative</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movement in Britain and the credit union movement in Germany were such societies</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established in India. Cooperative societies are based on the principles of cooperation, mutual assistance,</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decision-making and open membership. The cooperatives represented a new and</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an alternative approach to the organization compared to private companies, partner companies, etc</w:t>
      </w:r>
      <w:r>
        <w:rPr>
          <w:rFonts w:ascii="Times New Roman" w:eastAsia="Times New Roman" w:hAnsi="Times New Roman" w:cs="Times New Roman"/>
          <w:sz w:val="24"/>
          <w:szCs w:val="24"/>
          <w:lang w:bidi="hi-IN"/>
        </w:rPr>
        <w:t xml:space="preserve"> </w:t>
      </w:r>
      <w:r w:rsidRPr="008664FB">
        <w:rPr>
          <w:rFonts w:ascii="Times New Roman" w:eastAsia="Times New Roman" w:hAnsi="Times New Roman" w:cs="Times New Roman"/>
          <w:sz w:val="24"/>
          <w:szCs w:val="24"/>
          <w:lang w:bidi="hi-IN"/>
        </w:rPr>
        <w:t>joint-stock companies, which represent the dominant form of business organization.</w:t>
      </w:r>
    </w:p>
    <w:p w:rsidR="00E97B52" w:rsidRPr="00E97B52" w:rsidRDefault="00E97B52" w:rsidP="003D4C6D">
      <w:pPr>
        <w:shd w:val="clear" w:color="auto" w:fill="FFFFFF"/>
        <w:spacing w:before="100" w:beforeAutospacing="1" w:after="100" w:afterAutospacing="1" w:line="360" w:lineRule="auto"/>
        <w:ind w:left="90"/>
        <w:jc w:val="both"/>
        <w:rPr>
          <w:rFonts w:ascii="Times New Roman" w:eastAsia="Times New Roman" w:hAnsi="Times New Roman" w:cs="Times New Roman"/>
          <w:sz w:val="24"/>
          <w:szCs w:val="24"/>
          <w:lang w:bidi="hi-IN"/>
        </w:rPr>
      </w:pPr>
      <w:r w:rsidRPr="00E97B52">
        <w:rPr>
          <w:rFonts w:ascii="Times New Roman" w:eastAsia="Times New Roman" w:hAnsi="Times New Roman" w:cs="Times New Roman"/>
          <w:sz w:val="24"/>
          <w:szCs w:val="24"/>
          <w:lang w:bidi="hi-IN"/>
        </w:rPr>
        <w:t xml:space="preserve">The first known mutual aid society in India was probably the 'Anyonya Sahakari Mandali' organized in the erstwhile princely state of Baroda in 1889 under the leadership of Vithal Laxman, also known as Bhausaheb Kavthekar. In their formative phase, urban cooperative credit societies began to organize themselves on a community basis to meet the consumer credit needs of their members. Gainful societies inculcating habits of thrift and self-help played a significant role in popularizing the movement, especially among the middle class and organized </w:t>
      </w:r>
      <w:r w:rsidRPr="00E97B52">
        <w:rPr>
          <w:rFonts w:ascii="Times New Roman" w:eastAsia="Times New Roman" w:hAnsi="Times New Roman" w:cs="Times New Roman"/>
          <w:sz w:val="24"/>
          <w:szCs w:val="24"/>
          <w:lang w:bidi="hi-IN"/>
        </w:rPr>
        <w:lastRenderedPageBreak/>
        <w:t>labor. From its inception to the present day, UCB's main objective has historically been to mobilize savings from middle and low-income urban groups and provide credit to its members – many of whom belonged to the weaker sections.</w:t>
      </w:r>
    </w:p>
    <w:p w:rsidR="00E97B52" w:rsidRDefault="00E97B52" w:rsidP="003D4C6D">
      <w:pPr>
        <w:shd w:val="clear" w:color="auto" w:fill="FFFFFF"/>
        <w:spacing w:before="100" w:beforeAutospacing="1" w:after="100" w:afterAutospacing="1" w:line="360" w:lineRule="auto"/>
        <w:ind w:left="90"/>
        <w:jc w:val="both"/>
        <w:rPr>
          <w:rFonts w:ascii="Times New Roman" w:eastAsia="Times New Roman" w:hAnsi="Times New Roman" w:cs="Times New Roman"/>
          <w:sz w:val="24"/>
          <w:szCs w:val="24"/>
          <w:lang w:bidi="hi-IN"/>
        </w:rPr>
      </w:pPr>
      <w:r w:rsidRPr="00E97B52">
        <w:rPr>
          <w:rFonts w:ascii="Times New Roman" w:eastAsia="Times New Roman" w:hAnsi="Times New Roman" w:cs="Times New Roman"/>
          <w:sz w:val="24"/>
          <w:szCs w:val="24"/>
          <w:lang w:bidi="hi-IN"/>
        </w:rPr>
        <w:t>However, the enactment of the Co-operative Credit Societies Act of 1904 gave the movement a real impetus. The first Urban Co-operative Credit Society was registered at Canjeevaram (Kanjivaram) in the former Madras Province in October 1904. Leading credit societies included Pioneer Urban in Bombay (11 November 1905), No. 1 Military Accounts Mutual Help Co -operative Credit Society in Poona (January 9, 1906). Cosmos in Poona (January 18, 1906), Gokak Urban (February 15, 1906) and Belgaum Pioneer (February 23, 1906) in Belgaum District, Kanakavli-Math Co-operative Credit Society and Varavade Weavers' Urban Credit Society (March 13 1906) in South Ratnagiri District (now Sindhudurg). Most prominent among the early credit societies was the Bombay Urban Co-operative Credit Society, sponsored by Vithaldas Thackersey and Lallubhai Samaldas founded on 23 January 1906.</w:t>
      </w:r>
    </w:p>
    <w:p w:rsidR="007540B6" w:rsidRPr="007540B6" w:rsidRDefault="007540B6" w:rsidP="009B0F92">
      <w:pPr>
        <w:shd w:val="clear" w:color="auto" w:fill="FFFFFF"/>
        <w:spacing w:before="100" w:beforeAutospacing="1" w:after="100" w:afterAutospacing="1" w:line="360" w:lineRule="auto"/>
        <w:ind w:left="90"/>
        <w:jc w:val="both"/>
        <w:rPr>
          <w:rFonts w:ascii="Times New Roman" w:eastAsia="Times New Roman" w:hAnsi="Times New Roman" w:cs="Times New Roman"/>
          <w:b/>
          <w:bCs/>
          <w:sz w:val="24"/>
          <w:szCs w:val="24"/>
          <w:lang w:bidi="hi-IN"/>
        </w:rPr>
      </w:pPr>
      <w:r w:rsidRPr="007540B6">
        <w:rPr>
          <w:rFonts w:ascii="Times New Roman" w:eastAsia="Times New Roman" w:hAnsi="Times New Roman" w:cs="Times New Roman"/>
          <w:b/>
          <w:bCs/>
          <w:sz w:val="24"/>
          <w:szCs w:val="24"/>
          <w:lang w:bidi="hi-IN"/>
        </w:rPr>
        <w:t>Objectives and Functi</w:t>
      </w:r>
      <w:r w:rsidR="003B36C7">
        <w:rPr>
          <w:rFonts w:ascii="Times New Roman" w:eastAsia="Times New Roman" w:hAnsi="Times New Roman" w:cs="Times New Roman"/>
          <w:b/>
          <w:bCs/>
          <w:sz w:val="24"/>
          <w:szCs w:val="24"/>
          <w:lang w:bidi="hi-IN"/>
        </w:rPr>
        <w:t>ons of Urban Cooperative Banks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 xml:space="preserve">Primarily to </w:t>
      </w:r>
      <w:r w:rsidR="003B36C7" w:rsidRPr="009B0F92">
        <w:rPr>
          <w:rFonts w:ascii="Times New Roman" w:eastAsia="Times New Roman" w:hAnsi="Times New Roman" w:cs="Times New Roman"/>
          <w:sz w:val="24"/>
          <w:szCs w:val="24"/>
          <w:lang w:bidi="hi-IN"/>
        </w:rPr>
        <w:t>rise</w:t>
      </w:r>
      <w:r w:rsidRPr="009B0F92">
        <w:rPr>
          <w:rFonts w:ascii="Times New Roman" w:eastAsia="Times New Roman" w:hAnsi="Times New Roman" w:cs="Times New Roman"/>
          <w:sz w:val="24"/>
          <w:szCs w:val="24"/>
          <w:lang w:bidi="hi-IN"/>
        </w:rPr>
        <w:t xml:space="preserve"> funds for lending money to its members.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Attract deposits from members and non-members.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Encourage thrift, self-help and mutual aid among members.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To draw, make, accept, discount, sell, collect and deal in promissory notes, promissory notes, certificates and other securities.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Providing safe deposit vaults.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Issue letters of credit and travel letters of credit</w:t>
      </w:r>
      <w:r w:rsidR="009B0F92">
        <w:rPr>
          <w:rFonts w:ascii="Times New Roman" w:eastAsia="Times New Roman" w:hAnsi="Times New Roman" w:cs="Times New Roman"/>
          <w:sz w:val="24"/>
          <w:szCs w:val="24"/>
          <w:lang w:bidi="hi-IN"/>
        </w:rPr>
        <w:t>.</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checks.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Ensure safe custody of valuables.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Acts as a representative of its customers.</w:t>
      </w:r>
    </w:p>
    <w:p w:rsidR="007540B6" w:rsidRDefault="007540B6" w:rsidP="009B0F92">
      <w:pPr>
        <w:pStyle w:val="ListParagraph"/>
        <w:numPr>
          <w:ilvl w:val="0"/>
          <w:numId w:val="1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9B0F92">
        <w:rPr>
          <w:rFonts w:ascii="Times New Roman" w:eastAsia="Times New Roman" w:hAnsi="Times New Roman" w:cs="Times New Roman"/>
          <w:sz w:val="24"/>
          <w:szCs w:val="24"/>
          <w:lang w:bidi="hi-IN"/>
        </w:rPr>
        <w:t>Borrow funds and use them to provide loans to people in need</w:t>
      </w:r>
      <w:r w:rsidR="009B0F92" w:rsidRPr="009B0F92">
        <w:rPr>
          <w:rFonts w:ascii="Times New Roman" w:eastAsia="Times New Roman" w:hAnsi="Times New Roman" w:cs="Times New Roman"/>
          <w:sz w:val="24"/>
          <w:szCs w:val="24"/>
          <w:lang w:bidi="hi-IN"/>
        </w:rPr>
        <w:t>.</w:t>
      </w:r>
    </w:p>
    <w:p w:rsidR="008A452C" w:rsidRPr="008A452C" w:rsidRDefault="008A452C" w:rsidP="008A452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p>
    <w:p w:rsidR="003B36C7" w:rsidRPr="009B0F92" w:rsidRDefault="003B36C7" w:rsidP="003B36C7">
      <w:pPr>
        <w:pStyle w:val="ListParagraph"/>
        <w:shd w:val="clear" w:color="auto" w:fill="FFFFFF"/>
        <w:spacing w:before="100" w:beforeAutospacing="1" w:after="100" w:afterAutospacing="1" w:line="360" w:lineRule="auto"/>
        <w:ind w:left="810"/>
        <w:jc w:val="both"/>
        <w:rPr>
          <w:rFonts w:ascii="Times New Roman" w:eastAsia="Times New Roman" w:hAnsi="Times New Roman" w:cs="Times New Roman"/>
          <w:sz w:val="24"/>
          <w:szCs w:val="24"/>
          <w:lang w:bidi="hi-IN"/>
        </w:rPr>
      </w:pPr>
    </w:p>
    <w:p w:rsidR="00880B73" w:rsidRPr="0027270B" w:rsidRDefault="00880B73" w:rsidP="0027270B">
      <w:pPr>
        <w:pStyle w:val="ListParagraph"/>
        <w:numPr>
          <w:ilvl w:val="1"/>
          <w:numId w:val="9"/>
        </w:numPr>
        <w:shd w:val="clear" w:color="auto" w:fill="FFFFFF"/>
        <w:spacing w:after="100" w:afterAutospacing="1" w:line="240" w:lineRule="auto"/>
        <w:ind w:left="720"/>
        <w:jc w:val="both"/>
        <w:outlineLvl w:val="1"/>
        <w:rPr>
          <w:rFonts w:ascii="Times New Roman" w:eastAsia="Times New Roman" w:hAnsi="Times New Roman" w:cs="Times New Roman"/>
          <w:b/>
          <w:bCs/>
          <w:color w:val="333333"/>
          <w:sz w:val="36"/>
          <w:szCs w:val="36"/>
          <w:lang w:bidi="hi-IN"/>
        </w:rPr>
      </w:pPr>
      <w:r w:rsidRPr="0027270B">
        <w:rPr>
          <w:rFonts w:ascii="Times New Roman" w:eastAsia="Times New Roman" w:hAnsi="Times New Roman" w:cs="Times New Roman"/>
          <w:b/>
          <w:bCs/>
          <w:sz w:val="24"/>
          <w:szCs w:val="24"/>
          <w:lang w:bidi="hi-IN"/>
        </w:rPr>
        <w:lastRenderedPageBreak/>
        <w:t>Current Developments of</w:t>
      </w:r>
      <w:r w:rsidRPr="0027270B">
        <w:rPr>
          <w:rFonts w:ascii="Times New Roman" w:eastAsia="Times New Roman" w:hAnsi="Times New Roman" w:cs="Times New Roman"/>
          <w:b/>
          <w:bCs/>
          <w:color w:val="333333"/>
          <w:sz w:val="36"/>
          <w:szCs w:val="36"/>
          <w:lang w:bidi="hi-IN"/>
        </w:rPr>
        <w:t xml:space="preserve"> </w:t>
      </w:r>
      <w:r w:rsidR="00817B10" w:rsidRPr="0027270B">
        <w:rPr>
          <w:rFonts w:ascii="Times New Roman" w:eastAsia="Times New Roman" w:hAnsi="Times New Roman" w:cs="Times New Roman"/>
          <w:b/>
          <w:bCs/>
          <w:sz w:val="24"/>
          <w:szCs w:val="24"/>
          <w:lang w:bidi="hi-IN"/>
        </w:rPr>
        <w:t>Urban Cooperative Banks (</w:t>
      </w:r>
      <w:r w:rsidRPr="0027270B">
        <w:rPr>
          <w:rFonts w:ascii="Times New Roman" w:eastAsia="Times New Roman" w:hAnsi="Times New Roman" w:cs="Times New Roman"/>
          <w:b/>
          <w:bCs/>
          <w:sz w:val="24"/>
          <w:szCs w:val="24"/>
          <w:lang w:bidi="hi-IN"/>
        </w:rPr>
        <w:t>UCB</w:t>
      </w:r>
      <w:r w:rsidR="003D4C6D" w:rsidRPr="0027270B">
        <w:rPr>
          <w:rFonts w:ascii="Times New Roman" w:eastAsia="Times New Roman" w:hAnsi="Times New Roman" w:cs="Times New Roman"/>
          <w:b/>
          <w:bCs/>
          <w:sz w:val="24"/>
          <w:szCs w:val="24"/>
          <w:lang w:bidi="hi-IN"/>
        </w:rPr>
        <w:t>s</w:t>
      </w:r>
      <w:r w:rsidR="00817B10" w:rsidRPr="0027270B">
        <w:rPr>
          <w:rFonts w:ascii="Times New Roman" w:eastAsia="Times New Roman" w:hAnsi="Times New Roman" w:cs="Times New Roman"/>
          <w:b/>
          <w:bCs/>
          <w:sz w:val="24"/>
          <w:szCs w:val="24"/>
          <w:lang w:bidi="hi-IN"/>
        </w:rPr>
        <w:t>)</w:t>
      </w:r>
    </w:p>
    <w:p w:rsidR="00903A4A" w:rsidRDefault="003D4C6D" w:rsidP="00903A4A">
      <w:pPr>
        <w:shd w:val="clear" w:color="auto" w:fill="FFFFFF"/>
        <w:spacing w:after="100" w:afterAutospacing="1" w:line="360" w:lineRule="auto"/>
        <w:jc w:val="both"/>
        <w:outlineLvl w:val="1"/>
        <w:rPr>
          <w:rFonts w:ascii="Times New Roman" w:eastAsia="Times New Roman" w:hAnsi="Times New Roman" w:cs="Times New Roman"/>
          <w:color w:val="333333"/>
          <w:sz w:val="24"/>
          <w:szCs w:val="24"/>
          <w:lang w:bidi="hi-IN"/>
        </w:rPr>
      </w:pPr>
      <w:r w:rsidRPr="003D4C6D">
        <w:rPr>
          <w:rFonts w:ascii="Times New Roman" w:eastAsia="Times New Roman" w:hAnsi="Times New Roman" w:cs="Times New Roman"/>
          <w:color w:val="333333"/>
          <w:sz w:val="24"/>
          <w:szCs w:val="24"/>
          <w:lang w:bidi="hi-IN"/>
        </w:rPr>
        <w:t>The RBI revised the Supervisory Framework (SAF) for UCBs in January 2020. The central government approved a regulation in June 2020 that will bring all municipal and multi-state cooperative banks under the direct supervision of the RBI. A committee headed by former RBI Deputy Governor NS Vishwanathan recently proposed the following findings for urban cooperative banks (UCBs). Recently, the RBI appointed a committee to design a four-tier UCB structure.</w:t>
      </w:r>
    </w:p>
    <w:p w:rsidR="00903A4A" w:rsidRPr="008A452C" w:rsidRDefault="00903A4A" w:rsidP="00903A4A">
      <w:pPr>
        <w:pStyle w:val="ListParagraph"/>
        <w:numPr>
          <w:ilvl w:val="0"/>
          <w:numId w:val="4"/>
        </w:num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Tier 1 with all unit and salaried UCBs (irrespective of deposit size) and all other UCBs with deposits up to Rs 100 crore,</w:t>
      </w:r>
    </w:p>
    <w:p w:rsidR="00903A4A" w:rsidRPr="008A452C" w:rsidRDefault="00903A4A" w:rsidP="00903A4A">
      <w:pPr>
        <w:pStyle w:val="ListParagraph"/>
        <w:numPr>
          <w:ilvl w:val="0"/>
          <w:numId w:val="4"/>
        </w:num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Tier 2 with UCBs with deposits between Rs 100 crore and Rs 1000 crore,</w:t>
      </w:r>
    </w:p>
    <w:p w:rsidR="00903A4A" w:rsidRPr="008A452C" w:rsidRDefault="00903A4A" w:rsidP="00903A4A">
      <w:pPr>
        <w:pStyle w:val="ListParagraph"/>
        <w:numPr>
          <w:ilvl w:val="0"/>
          <w:numId w:val="4"/>
        </w:num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Tier 3 with UCBs with deposits between Rs 1,000 crore and Rs 10,000 crore and</w:t>
      </w:r>
    </w:p>
    <w:p w:rsidR="00903A4A" w:rsidRPr="008A452C" w:rsidRDefault="00903A4A" w:rsidP="00903A4A">
      <w:pPr>
        <w:pStyle w:val="ListParagraph"/>
        <w:numPr>
          <w:ilvl w:val="0"/>
          <w:numId w:val="4"/>
        </w:num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Tier 4 with UCBs with deposits of more than Rs 10,000 crore.</w:t>
      </w:r>
    </w:p>
    <w:p w:rsidR="0027270B" w:rsidRPr="00817B10" w:rsidRDefault="0027270B" w:rsidP="0027270B">
      <w:pPr>
        <w:pStyle w:val="ListParagraph"/>
        <w:shd w:val="clear" w:color="auto" w:fill="FFFFFF"/>
        <w:spacing w:after="100" w:afterAutospacing="1" w:line="360" w:lineRule="auto"/>
        <w:jc w:val="both"/>
        <w:outlineLvl w:val="1"/>
        <w:rPr>
          <w:rFonts w:ascii="Times New Roman" w:eastAsia="Times New Roman" w:hAnsi="Times New Roman" w:cs="Times New Roman"/>
          <w:color w:val="333333"/>
          <w:sz w:val="24"/>
          <w:szCs w:val="24"/>
          <w:lang w:bidi="hi-IN"/>
        </w:rPr>
      </w:pPr>
    </w:p>
    <w:p w:rsidR="00DA4E92" w:rsidRPr="0027270B" w:rsidRDefault="00DA4E92" w:rsidP="0027270B">
      <w:pPr>
        <w:pStyle w:val="ListParagraph"/>
        <w:numPr>
          <w:ilvl w:val="1"/>
          <w:numId w:val="9"/>
        </w:numPr>
        <w:shd w:val="clear" w:color="auto" w:fill="FFFFFF"/>
        <w:spacing w:after="100" w:afterAutospacing="1" w:line="360" w:lineRule="auto"/>
        <w:ind w:left="630" w:hanging="630"/>
        <w:jc w:val="both"/>
        <w:outlineLvl w:val="1"/>
        <w:rPr>
          <w:rFonts w:ascii="Times New Roman" w:eastAsia="Times New Roman" w:hAnsi="Times New Roman" w:cs="Times New Roman"/>
          <w:b/>
          <w:bCs/>
          <w:color w:val="333333"/>
          <w:sz w:val="28"/>
          <w:szCs w:val="28"/>
          <w:lang w:bidi="hi-IN"/>
        </w:rPr>
      </w:pPr>
      <w:r w:rsidRPr="0027270B">
        <w:rPr>
          <w:rFonts w:ascii="Times New Roman" w:eastAsia="Times New Roman" w:hAnsi="Times New Roman" w:cs="Times New Roman"/>
          <w:b/>
          <w:bCs/>
          <w:color w:val="333333"/>
          <w:sz w:val="28"/>
          <w:szCs w:val="28"/>
          <w:lang w:bidi="hi-IN"/>
        </w:rPr>
        <w:t>Major initiatives taken by the Government</w:t>
      </w:r>
      <w:r w:rsidR="00817B10" w:rsidRPr="0027270B">
        <w:rPr>
          <w:rFonts w:ascii="Times New Roman" w:eastAsia="Times New Roman" w:hAnsi="Times New Roman" w:cs="Times New Roman"/>
          <w:b/>
          <w:bCs/>
          <w:color w:val="333333"/>
          <w:sz w:val="28"/>
          <w:szCs w:val="28"/>
          <w:lang w:bidi="hi-IN"/>
        </w:rPr>
        <w:t xml:space="preserve"> </w:t>
      </w:r>
    </w:p>
    <w:p w:rsidR="00DF049A"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To realize Prime Minister Shri Narendra Modi's vision of 'Sahakar se Samridhi', four important initiatives have been undertaken to further strengthen the 1,514 Urban Co-operative Banks (UCBs) in the country. In which detailed discussions were held with Union Home Minister, Co-operative Minister Shri Amit Shah, Finance Minister Smt. Nirmala Sitharaman and Reserve Bank of India Governor. RBI has announced these important measures to strengthen urban cooperative banks.</w:t>
      </w:r>
    </w:p>
    <w:p w:rsidR="00DF049A"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1. Urban Cooperative Banks (UCBs) can now open new branches to expand their business. UCBs can now open new branches up to 10% (maximum 5 branches) of the number of branches in the previous financial year without prior approval of the RBI in their approved jurisdiction. In order to take advantage of this option, UCBs must have a policy approved by their board and adhere to Financially Sound and Well Managed (FSWM) standards.</w:t>
      </w:r>
    </w:p>
    <w:p w:rsidR="00DF049A"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2. UCBs can also do one-time settlement at par with commercial banks</w:t>
      </w:r>
      <w:r w:rsidR="00B027F3" w:rsidRPr="008A452C">
        <w:rPr>
          <w:rFonts w:ascii="Times New Roman" w:eastAsia="Times New Roman" w:hAnsi="Times New Roman" w:cs="Times New Roman"/>
          <w:color w:val="000000" w:themeColor="text1"/>
          <w:sz w:val="24"/>
          <w:szCs w:val="24"/>
          <w:lang w:bidi="hi-IN"/>
        </w:rPr>
        <w:t xml:space="preserve"> </w:t>
      </w:r>
      <w:r w:rsidRPr="008A452C">
        <w:rPr>
          <w:rFonts w:ascii="Times New Roman" w:eastAsia="Times New Roman" w:hAnsi="Times New Roman" w:cs="Times New Roman"/>
          <w:color w:val="000000" w:themeColor="text1"/>
          <w:sz w:val="24"/>
          <w:szCs w:val="24"/>
          <w:lang w:bidi="hi-IN"/>
        </w:rPr>
        <w:t xml:space="preserve">RBI has notified a framework governing this aspect for all regulated entities including urban cooperative banks. Now co-operative banks can provide write-off as well as borrower settlement process through </w:t>
      </w:r>
      <w:r w:rsidRPr="008A452C">
        <w:rPr>
          <w:rFonts w:ascii="Times New Roman" w:eastAsia="Times New Roman" w:hAnsi="Times New Roman" w:cs="Times New Roman"/>
          <w:color w:val="000000" w:themeColor="text1"/>
          <w:sz w:val="24"/>
          <w:szCs w:val="24"/>
          <w:lang w:bidi="hi-IN"/>
        </w:rPr>
        <w:lastRenderedPageBreak/>
        <w:t>policies approved by the board. With this, cooperative banks have now become equal to other commercial banks.</w:t>
      </w:r>
    </w:p>
    <w:p w:rsidR="00DF049A"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3. UCB vis-a-vis revised timeline for PSL targets.</w:t>
      </w:r>
      <w:r w:rsidR="00B027F3" w:rsidRPr="008A452C">
        <w:rPr>
          <w:rFonts w:ascii="Times New Roman" w:eastAsia="Times New Roman" w:hAnsi="Times New Roman" w:cs="Times New Roman"/>
          <w:color w:val="000000" w:themeColor="text1"/>
          <w:sz w:val="24"/>
          <w:szCs w:val="24"/>
          <w:lang w:bidi="hi-IN"/>
        </w:rPr>
        <w:t xml:space="preserve"> </w:t>
      </w:r>
      <w:r w:rsidRPr="008A452C">
        <w:rPr>
          <w:rFonts w:ascii="Times New Roman" w:eastAsia="Times New Roman" w:hAnsi="Times New Roman" w:cs="Times New Roman"/>
          <w:color w:val="000000" w:themeColor="text1"/>
          <w:sz w:val="24"/>
          <w:szCs w:val="24"/>
          <w:lang w:bidi="hi-IN"/>
        </w:rPr>
        <w:t>The Reserve Bank of India has decided to extend the deadline for UCBs to achieve the priority sector lending (PSL) targets by two years, i.e. up to 31 March 2026. The deadline of 31 March 2023 to achieve the 60% PSL target has now been extended to 31 March 2024 .Any surplus deposits after meeting the PSL shortfall during FY 2022-23 will also be returned to UCB. Since UCBs operate in urban areas unlike commercial banks that have branches in rural areas as well, they faced challenges in this regard.</w:t>
      </w:r>
    </w:p>
    <w:p w:rsidR="00DF049A"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4. To appoint a nodal officer in RBI. To meet the long-pending demand of the cooperative sector for closer coordination and targeted interaction, RBI has also recently notified a nodal officer.</w:t>
      </w:r>
    </w:p>
    <w:p w:rsidR="00DA4E92" w:rsidRPr="008A452C" w:rsidRDefault="00DF049A" w:rsidP="00DF049A">
      <w:pPr>
        <w:shd w:val="clear" w:color="auto" w:fill="FFFFFF"/>
        <w:spacing w:after="100" w:afterAutospacing="1" w:line="360" w:lineRule="auto"/>
        <w:jc w:val="both"/>
        <w:outlineLvl w:val="1"/>
        <w:rPr>
          <w:rFonts w:ascii="Times New Roman" w:eastAsia="Times New Roman" w:hAnsi="Times New Roman" w:cs="Times New Roman"/>
          <w:color w:val="000000" w:themeColor="text1"/>
          <w:sz w:val="24"/>
          <w:szCs w:val="24"/>
          <w:lang w:bidi="hi-IN"/>
        </w:rPr>
      </w:pPr>
      <w:r w:rsidRPr="008A452C">
        <w:rPr>
          <w:rFonts w:ascii="Times New Roman" w:eastAsia="Times New Roman" w:hAnsi="Times New Roman" w:cs="Times New Roman"/>
          <w:color w:val="000000" w:themeColor="text1"/>
          <w:sz w:val="24"/>
          <w:szCs w:val="24"/>
          <w:lang w:bidi="hi-IN"/>
        </w:rPr>
        <w:t>The above initiatives will further strengthen the Urban Cooperative Banks. Under the leadership of Prime Minister Shri Narendra Modi, the Ministry of Cooperation is committed to strengthen cooperatives and treat them at par with other forms of economic entities, both as beneficiaries and participants.</w:t>
      </w:r>
    </w:p>
    <w:p w:rsidR="00B027F3" w:rsidRPr="00B27B0B" w:rsidRDefault="00B027F3" w:rsidP="00DF049A">
      <w:pPr>
        <w:shd w:val="clear" w:color="auto" w:fill="FFFFFF"/>
        <w:spacing w:after="100" w:afterAutospacing="1" w:line="360" w:lineRule="auto"/>
        <w:jc w:val="both"/>
        <w:outlineLvl w:val="1"/>
        <w:rPr>
          <w:rFonts w:ascii="Times New Roman" w:eastAsia="Times New Roman" w:hAnsi="Times New Roman" w:cs="Times New Roman"/>
          <w:b/>
          <w:bCs/>
          <w:i/>
          <w:iCs/>
          <w:color w:val="333333"/>
          <w:sz w:val="24"/>
          <w:szCs w:val="24"/>
          <w:lang w:bidi="hi-IN"/>
        </w:rPr>
      </w:pPr>
      <w:r w:rsidRPr="008A452C">
        <w:rPr>
          <w:rFonts w:ascii="Times New Roman" w:eastAsia="Times New Roman" w:hAnsi="Times New Roman" w:cs="Times New Roman"/>
          <w:b/>
          <w:bCs/>
          <w:i/>
          <w:iCs/>
          <w:color w:val="000000" w:themeColor="text1"/>
          <w:sz w:val="24"/>
          <w:szCs w:val="24"/>
          <w:lang w:bidi="hi-IN"/>
        </w:rPr>
        <w:t>The a</w:t>
      </w:r>
      <w:r w:rsidRPr="00B27B0B">
        <w:rPr>
          <w:rFonts w:ascii="Times New Roman" w:eastAsia="Times New Roman" w:hAnsi="Times New Roman" w:cs="Times New Roman"/>
          <w:b/>
          <w:bCs/>
          <w:i/>
          <w:iCs/>
          <w:color w:val="333333"/>
          <w:sz w:val="24"/>
          <w:szCs w:val="24"/>
          <w:lang w:bidi="hi-IN"/>
        </w:rPr>
        <w:t>bove initiatives will further strengthen the urban cooperative banks. Under the leadership of Prime Minister Shri Narendra Modi, the Ministry of Cooperation is committed to strengthening cooperatives and treating them at par with other forms of economic entities, both as beneficiaries and participants.</w:t>
      </w:r>
    </w:p>
    <w:p w:rsidR="00C95497" w:rsidRPr="00817B10" w:rsidRDefault="00C95497" w:rsidP="00817B10">
      <w:pPr>
        <w:pStyle w:val="ListParagraph"/>
        <w:numPr>
          <w:ilvl w:val="0"/>
          <w:numId w:val="9"/>
        </w:numPr>
        <w:shd w:val="clear" w:color="auto" w:fill="FFFFFF"/>
        <w:spacing w:before="100" w:beforeAutospacing="1" w:after="100" w:afterAutospacing="1" w:line="360" w:lineRule="auto"/>
        <w:ind w:left="360"/>
        <w:jc w:val="both"/>
        <w:rPr>
          <w:rFonts w:ascii="Times New Roman" w:hAnsi="Times New Roman" w:cs="Times New Roman"/>
          <w:b/>
          <w:bCs/>
          <w:color w:val="000000" w:themeColor="text1"/>
          <w:sz w:val="28"/>
          <w:szCs w:val="28"/>
        </w:rPr>
      </w:pPr>
      <w:r w:rsidRPr="00817B10">
        <w:rPr>
          <w:rFonts w:ascii="Times New Roman" w:hAnsi="Times New Roman" w:cs="Times New Roman"/>
          <w:b/>
          <w:bCs/>
          <w:color w:val="000000" w:themeColor="text1"/>
          <w:sz w:val="28"/>
          <w:szCs w:val="28"/>
        </w:rPr>
        <w:t xml:space="preserve">Objective of the </w:t>
      </w:r>
      <w:r w:rsidR="004A42C0" w:rsidRPr="00817B10">
        <w:rPr>
          <w:rFonts w:ascii="Times New Roman" w:hAnsi="Times New Roman" w:cs="Times New Roman"/>
          <w:b/>
          <w:bCs/>
          <w:color w:val="000000" w:themeColor="text1"/>
          <w:sz w:val="28"/>
          <w:szCs w:val="28"/>
        </w:rPr>
        <w:t>Study</w:t>
      </w:r>
    </w:p>
    <w:p w:rsidR="00C95497" w:rsidRDefault="00C95497" w:rsidP="00C95497">
      <w:pPr>
        <w:pStyle w:val="ListParagraph"/>
        <w:numPr>
          <w:ilvl w:val="0"/>
          <w:numId w:val="5"/>
        </w:numPr>
        <w:shd w:val="clear" w:color="auto" w:fill="FFFFFF"/>
        <w:spacing w:before="100" w:beforeAutospacing="1" w:after="100" w:afterAutospacing="1" w:line="360" w:lineRule="auto"/>
        <w:jc w:val="both"/>
        <w:rPr>
          <w:rFonts w:ascii="Times New Roman" w:hAnsi="Times New Roman" w:cs="Times New Roman"/>
          <w:color w:val="000000" w:themeColor="text1"/>
          <w:sz w:val="24"/>
          <w:szCs w:val="24"/>
        </w:rPr>
      </w:pPr>
      <w:r w:rsidRPr="00C95497">
        <w:rPr>
          <w:rFonts w:ascii="Times New Roman" w:hAnsi="Times New Roman" w:cs="Times New Roman"/>
          <w:color w:val="000000" w:themeColor="text1"/>
          <w:sz w:val="24"/>
          <w:szCs w:val="24"/>
        </w:rPr>
        <w:t>To understand the structure of Urban Co-operative Banks in India.</w:t>
      </w:r>
    </w:p>
    <w:p w:rsidR="00ED2399" w:rsidRPr="00C95497" w:rsidRDefault="00ED2399" w:rsidP="00774EDF">
      <w:pPr>
        <w:pStyle w:val="ListParagraph"/>
        <w:numPr>
          <w:ilvl w:val="0"/>
          <w:numId w:val="5"/>
        </w:numPr>
        <w:shd w:val="clear" w:color="auto" w:fill="FFFFFF"/>
        <w:spacing w:before="100" w:beforeAutospacing="1" w:after="100" w:afterAutospacing="1" w:line="360" w:lineRule="auto"/>
        <w:jc w:val="both"/>
        <w:rPr>
          <w:rFonts w:ascii="Times New Roman" w:hAnsi="Times New Roman" w:cs="Times New Roman"/>
          <w:color w:val="000000" w:themeColor="text1"/>
          <w:sz w:val="24"/>
          <w:szCs w:val="24"/>
        </w:rPr>
      </w:pPr>
      <w:r w:rsidRPr="00ED2399">
        <w:rPr>
          <w:rFonts w:ascii="Times New Roman" w:hAnsi="Times New Roman" w:cs="Times New Roman"/>
          <w:color w:val="000000" w:themeColor="text1"/>
          <w:sz w:val="24"/>
          <w:szCs w:val="24"/>
        </w:rPr>
        <w:t>To study the role of urban co-operative banks in financing priority sectors and weaker sections.</w:t>
      </w:r>
    </w:p>
    <w:p w:rsidR="00DB2721" w:rsidRPr="00817B10" w:rsidRDefault="00DB2721" w:rsidP="00817B10">
      <w:pPr>
        <w:pStyle w:val="ListParagraph"/>
        <w:numPr>
          <w:ilvl w:val="0"/>
          <w:numId w:val="5"/>
        </w:numPr>
        <w:shd w:val="clear" w:color="auto" w:fill="FFFFFF"/>
        <w:spacing w:before="100" w:beforeAutospacing="1" w:after="100" w:afterAutospacing="1" w:line="240" w:lineRule="auto"/>
        <w:ind w:left="360"/>
        <w:jc w:val="both"/>
        <w:rPr>
          <w:rFonts w:ascii="Times New Roman" w:hAnsi="Times New Roman" w:cs="Times New Roman"/>
          <w:b/>
          <w:bCs/>
          <w:color w:val="000000" w:themeColor="text1"/>
          <w:sz w:val="28"/>
          <w:szCs w:val="28"/>
        </w:rPr>
      </w:pPr>
      <w:r w:rsidRPr="00817B10">
        <w:rPr>
          <w:rFonts w:ascii="Times New Roman" w:hAnsi="Times New Roman" w:cs="Times New Roman"/>
          <w:b/>
          <w:bCs/>
          <w:color w:val="000000" w:themeColor="text1"/>
          <w:sz w:val="28"/>
          <w:szCs w:val="28"/>
        </w:rPr>
        <w:t>Review literature of Past Studies</w:t>
      </w:r>
    </w:p>
    <w:p w:rsidR="00E372C3" w:rsidRDefault="00DB2721" w:rsidP="00E372C3">
      <w:pPr>
        <w:shd w:val="clear" w:color="auto" w:fill="FFFFFF"/>
        <w:spacing w:after="0" w:line="360" w:lineRule="auto"/>
        <w:jc w:val="both"/>
        <w:rPr>
          <w:rFonts w:ascii="Times New Roman" w:hAnsi="Times New Roman" w:cs="Times New Roman"/>
          <w:color w:val="000000" w:themeColor="text1"/>
          <w:sz w:val="24"/>
          <w:szCs w:val="24"/>
        </w:rPr>
      </w:pPr>
      <w:r w:rsidRPr="00774EDF">
        <w:rPr>
          <w:rFonts w:ascii="Times New Roman" w:hAnsi="Times New Roman" w:cs="Times New Roman"/>
          <w:color w:val="000000" w:themeColor="text1"/>
          <w:sz w:val="24"/>
          <w:szCs w:val="24"/>
        </w:rPr>
        <w:t>Madhavdas Committee (1979). evaluated the role played by urban cooperative banks in more details and outlined a plan for their future role recommending support from the RBI and the government in setting up such banks in backward areas and prescribing viability standards</w:t>
      </w:r>
      <w:r>
        <w:rPr>
          <w:rFonts w:ascii="Times New Roman" w:hAnsi="Times New Roman" w:cs="Times New Roman"/>
          <w:color w:val="000000" w:themeColor="text1"/>
          <w:sz w:val="24"/>
          <w:szCs w:val="24"/>
        </w:rPr>
        <w:t>.</w:t>
      </w:r>
    </w:p>
    <w:p w:rsidR="001F6D93" w:rsidRDefault="00DB2721" w:rsidP="00E372C3">
      <w:pPr>
        <w:shd w:val="clear" w:color="auto" w:fill="FFFFFF"/>
        <w:spacing w:after="0" w:line="360" w:lineRule="auto"/>
        <w:jc w:val="both"/>
        <w:rPr>
          <w:rFonts w:ascii="Times New Roman" w:hAnsi="Times New Roman" w:cs="Times New Roman"/>
          <w:color w:val="000000" w:themeColor="text1"/>
          <w:sz w:val="24"/>
          <w:szCs w:val="24"/>
        </w:rPr>
      </w:pPr>
      <w:r w:rsidRPr="005D37E6">
        <w:rPr>
          <w:rFonts w:ascii="Times New Roman" w:hAnsi="Times New Roman" w:cs="Times New Roman"/>
          <w:color w:val="000000" w:themeColor="text1"/>
          <w:sz w:val="24"/>
          <w:szCs w:val="24"/>
        </w:rPr>
        <w:lastRenderedPageBreak/>
        <w:t>The Hate Working Group (1981)</w:t>
      </w:r>
      <w:r w:rsidR="004E0CA2">
        <w:rPr>
          <w:rFonts w:ascii="Times New Roman" w:hAnsi="Times New Roman" w:cs="Times New Roman"/>
          <w:color w:val="000000" w:themeColor="text1"/>
          <w:sz w:val="24"/>
          <w:szCs w:val="24"/>
        </w:rPr>
        <w:t>.</w:t>
      </w:r>
      <w:r w:rsidRPr="005D37E6">
        <w:rPr>
          <w:rFonts w:ascii="Times New Roman" w:hAnsi="Times New Roman" w:cs="Times New Roman"/>
          <w:color w:val="000000" w:themeColor="text1"/>
          <w:sz w:val="24"/>
          <w:szCs w:val="24"/>
        </w:rPr>
        <w:t xml:space="preserve"> </w:t>
      </w:r>
      <w:r w:rsidR="008A452C" w:rsidRPr="00774EDF">
        <w:rPr>
          <w:rFonts w:ascii="Times New Roman" w:hAnsi="Times New Roman" w:cs="Times New Roman"/>
          <w:color w:val="000000" w:themeColor="text1"/>
          <w:sz w:val="24"/>
          <w:szCs w:val="24"/>
        </w:rPr>
        <w:t xml:space="preserve">evaluated </w:t>
      </w:r>
      <w:r w:rsidRPr="005D37E6">
        <w:rPr>
          <w:rFonts w:ascii="Times New Roman" w:hAnsi="Times New Roman" w:cs="Times New Roman"/>
          <w:color w:val="000000" w:themeColor="text1"/>
          <w:sz w:val="24"/>
          <w:szCs w:val="24"/>
        </w:rPr>
        <w:t>for better utilization of banks' surplus funds and that the percentage of cash reserve ratio (CRR) and statutory liquidity ratio (SLR) of these banks should gradually be brought</w:t>
      </w:r>
      <w:r w:rsidR="001F6D93">
        <w:rPr>
          <w:rFonts w:ascii="Times New Roman" w:hAnsi="Times New Roman" w:cs="Times New Roman"/>
          <w:color w:val="000000" w:themeColor="text1"/>
          <w:sz w:val="24"/>
          <w:szCs w:val="24"/>
        </w:rPr>
        <w:t xml:space="preserve"> in line with commercial banks.</w:t>
      </w:r>
    </w:p>
    <w:p w:rsidR="00E372C3" w:rsidRDefault="00DB2721" w:rsidP="00E372C3">
      <w:pPr>
        <w:shd w:val="clear" w:color="auto" w:fill="FFFFFF"/>
        <w:spacing w:after="0" w:line="360" w:lineRule="auto"/>
        <w:jc w:val="both"/>
        <w:rPr>
          <w:rFonts w:ascii="Times New Roman" w:hAnsi="Times New Roman" w:cs="Times New Roman"/>
          <w:color w:val="000000" w:themeColor="text1"/>
          <w:sz w:val="24"/>
          <w:szCs w:val="24"/>
        </w:rPr>
      </w:pPr>
      <w:r w:rsidRPr="005D37E6">
        <w:rPr>
          <w:rFonts w:ascii="Times New Roman" w:hAnsi="Times New Roman" w:cs="Times New Roman"/>
          <w:color w:val="000000" w:themeColor="text1"/>
          <w:sz w:val="24"/>
          <w:szCs w:val="24"/>
        </w:rPr>
        <w:t>Madhava Rao Committee (1999)</w:t>
      </w:r>
      <w:r w:rsidR="000C7475">
        <w:rPr>
          <w:rFonts w:ascii="Times New Roman" w:hAnsi="Times New Roman" w:cs="Times New Roman"/>
          <w:color w:val="000000" w:themeColor="text1"/>
          <w:sz w:val="24"/>
          <w:szCs w:val="24"/>
        </w:rPr>
        <w:t>.</w:t>
      </w:r>
      <w:r w:rsidRPr="005D37E6">
        <w:rPr>
          <w:rFonts w:ascii="Times New Roman" w:hAnsi="Times New Roman" w:cs="Times New Roman"/>
          <w:color w:val="000000" w:themeColor="text1"/>
          <w:sz w:val="24"/>
          <w:szCs w:val="24"/>
        </w:rPr>
        <w:t xml:space="preserve"> </w:t>
      </w:r>
      <w:r w:rsidR="000C7475" w:rsidRPr="005D37E6">
        <w:rPr>
          <w:rFonts w:ascii="Times New Roman" w:hAnsi="Times New Roman" w:cs="Times New Roman"/>
          <w:color w:val="000000" w:themeColor="text1"/>
          <w:sz w:val="24"/>
          <w:szCs w:val="24"/>
        </w:rPr>
        <w:t>Focused</w:t>
      </w:r>
      <w:r w:rsidRPr="005D37E6">
        <w:rPr>
          <w:rFonts w:ascii="Times New Roman" w:hAnsi="Times New Roman" w:cs="Times New Roman"/>
          <w:color w:val="000000" w:themeColor="text1"/>
          <w:sz w:val="24"/>
          <w:szCs w:val="24"/>
        </w:rPr>
        <w:t xml:space="preserve"> on consolidation, disease control, </w:t>
      </w:r>
      <w:r w:rsidR="004E0CA2" w:rsidRPr="005D37E6">
        <w:rPr>
          <w:rFonts w:ascii="Times New Roman" w:hAnsi="Times New Roman" w:cs="Times New Roman"/>
          <w:color w:val="000000" w:themeColor="text1"/>
          <w:sz w:val="24"/>
          <w:szCs w:val="24"/>
        </w:rPr>
        <w:t>and better</w:t>
      </w:r>
      <w:r w:rsidRPr="005D37E6">
        <w:rPr>
          <w:rFonts w:ascii="Times New Roman" w:hAnsi="Times New Roman" w:cs="Times New Roman"/>
          <w:color w:val="000000" w:themeColor="text1"/>
          <w:sz w:val="24"/>
          <w:szCs w:val="24"/>
        </w:rPr>
        <w:t xml:space="preserve"> professional standards in urban cooperative banks and so</w:t>
      </w:r>
      <w:r w:rsidR="004E0CA2">
        <w:rPr>
          <w:rFonts w:ascii="Times New Roman" w:hAnsi="Times New Roman" w:cs="Times New Roman"/>
          <w:color w:val="000000" w:themeColor="text1"/>
          <w:sz w:val="24"/>
          <w:szCs w:val="24"/>
        </w:rPr>
        <w:t>ught to harmonize urban banking,</w:t>
      </w:r>
      <w:r w:rsidRPr="005D37E6">
        <w:rPr>
          <w:rFonts w:ascii="Times New Roman" w:hAnsi="Times New Roman" w:cs="Times New Roman"/>
          <w:color w:val="000000" w:themeColor="text1"/>
          <w:sz w:val="24"/>
          <w:szCs w:val="24"/>
        </w:rPr>
        <w:t xml:space="preserve"> </w:t>
      </w:r>
      <w:r w:rsidR="004E0CA2" w:rsidRPr="005D37E6">
        <w:rPr>
          <w:rFonts w:ascii="Times New Roman" w:hAnsi="Times New Roman" w:cs="Times New Roman"/>
          <w:color w:val="000000" w:themeColor="text1"/>
          <w:sz w:val="24"/>
          <w:szCs w:val="24"/>
        </w:rPr>
        <w:t>Movement</w:t>
      </w:r>
      <w:r w:rsidRPr="005D37E6">
        <w:rPr>
          <w:rFonts w:ascii="Times New Roman" w:hAnsi="Times New Roman" w:cs="Times New Roman"/>
          <w:color w:val="000000" w:themeColor="text1"/>
          <w:sz w:val="24"/>
          <w:szCs w:val="24"/>
        </w:rPr>
        <w:t xml:space="preserve"> with commercial banks.</w:t>
      </w:r>
    </w:p>
    <w:p w:rsidR="00DB2721" w:rsidRPr="00774EDF" w:rsidRDefault="00DB2721" w:rsidP="00E372C3">
      <w:pPr>
        <w:shd w:val="clear" w:color="auto" w:fill="FFFFFF"/>
        <w:spacing w:after="0" w:line="360" w:lineRule="auto"/>
        <w:jc w:val="both"/>
        <w:rPr>
          <w:rFonts w:ascii="Times New Roman" w:hAnsi="Times New Roman" w:cs="Times New Roman"/>
          <w:color w:val="000000" w:themeColor="text1"/>
          <w:sz w:val="24"/>
          <w:szCs w:val="24"/>
        </w:rPr>
      </w:pPr>
      <w:r w:rsidRPr="00774EDF">
        <w:rPr>
          <w:rFonts w:ascii="Times New Roman" w:hAnsi="Times New Roman" w:cs="Times New Roman"/>
          <w:color w:val="000000" w:themeColor="text1"/>
          <w:sz w:val="24"/>
          <w:szCs w:val="24"/>
        </w:rPr>
        <w:t>Bhaskaran and Josh (2000)</w:t>
      </w:r>
      <w:r w:rsidR="000C7475">
        <w:rPr>
          <w:rFonts w:ascii="Times New Roman" w:hAnsi="Times New Roman" w:cs="Times New Roman"/>
          <w:color w:val="000000" w:themeColor="text1"/>
          <w:sz w:val="24"/>
          <w:szCs w:val="24"/>
        </w:rPr>
        <w:t>.</w:t>
      </w:r>
      <w:r w:rsidRPr="00774EDF">
        <w:rPr>
          <w:rFonts w:ascii="Times New Roman" w:hAnsi="Times New Roman" w:cs="Times New Roman"/>
          <w:color w:val="000000" w:themeColor="text1"/>
          <w:sz w:val="24"/>
          <w:szCs w:val="24"/>
        </w:rPr>
        <w:t xml:space="preserve"> concluded that the enforcement of credit cooperative foundations continues to be unacceptable, contributing to the development of NPAs even after the introduction of prudential guidelines. They recommended authoritative and strategic solutions to make cooperative credit foundations more capable, beneficial and productive alongside competitive commercial banking.</w:t>
      </w:r>
    </w:p>
    <w:p w:rsidR="00E372C3" w:rsidRDefault="00DB2721" w:rsidP="00E372C3">
      <w:pPr>
        <w:shd w:val="clear" w:color="auto" w:fill="FFFFFF"/>
        <w:spacing w:after="0" w:line="360" w:lineRule="auto"/>
        <w:jc w:val="both"/>
        <w:rPr>
          <w:rFonts w:ascii="Times New Roman" w:hAnsi="Times New Roman" w:cs="Times New Roman"/>
          <w:color w:val="000000" w:themeColor="text1"/>
          <w:sz w:val="24"/>
          <w:szCs w:val="24"/>
        </w:rPr>
      </w:pPr>
      <w:r w:rsidRPr="00774EDF">
        <w:rPr>
          <w:rFonts w:ascii="Times New Roman" w:hAnsi="Times New Roman" w:cs="Times New Roman"/>
          <w:color w:val="000000" w:themeColor="text1"/>
          <w:sz w:val="24"/>
          <w:szCs w:val="24"/>
        </w:rPr>
        <w:t xml:space="preserve">Jain (2001). </w:t>
      </w:r>
      <w:r>
        <w:rPr>
          <w:rFonts w:ascii="Times New Roman" w:hAnsi="Times New Roman" w:cs="Times New Roman"/>
          <w:color w:val="000000" w:themeColor="text1"/>
          <w:sz w:val="24"/>
          <w:szCs w:val="24"/>
        </w:rPr>
        <w:t>Analyses</w:t>
      </w:r>
      <w:r w:rsidRPr="00774EDF">
        <w:rPr>
          <w:rFonts w:ascii="Times New Roman" w:hAnsi="Times New Roman" w:cs="Times New Roman"/>
          <w:color w:val="000000" w:themeColor="text1"/>
          <w:sz w:val="24"/>
          <w:szCs w:val="24"/>
        </w:rPr>
        <w:t xml:space="preserve"> a case study of District Central Cooperative Banks (DCCBs) in Western India, similar to Maharashtra, Gujarat and Rajasthan, and found that DCCBs from Rajasthan performed better in terms of profitability and liquidity compared to Gujarat and Maharashtra. Singh and Singh (2006)</w:t>
      </w:r>
      <w:r w:rsidR="000C7475">
        <w:rPr>
          <w:rFonts w:ascii="Times New Roman" w:hAnsi="Times New Roman" w:cs="Times New Roman"/>
          <w:color w:val="000000" w:themeColor="text1"/>
          <w:sz w:val="24"/>
          <w:szCs w:val="24"/>
        </w:rPr>
        <w:t>.</w:t>
      </w:r>
      <w:r w:rsidRPr="00774EDF">
        <w:rPr>
          <w:rFonts w:ascii="Times New Roman" w:hAnsi="Times New Roman" w:cs="Times New Roman"/>
          <w:color w:val="000000" w:themeColor="text1"/>
          <w:sz w:val="24"/>
          <w:szCs w:val="24"/>
        </w:rPr>
        <w:t xml:space="preserve"> considered the assets of executives in District Central Cooperative Banks (DCCBs) in Punjab with specific reference to the investigation of financial advantage. The greater range of proprietary assets and enforcement concerns caused an expanded margin of central cooperative banks and consequently greater arrangements for non-performing resources.</w:t>
      </w:r>
    </w:p>
    <w:p w:rsidR="00E372C3" w:rsidRDefault="00E372C3" w:rsidP="00E372C3">
      <w:pPr>
        <w:shd w:val="clear" w:color="auto" w:fill="FFFFFF"/>
        <w:spacing w:after="0" w:line="360" w:lineRule="auto"/>
        <w:jc w:val="both"/>
        <w:rPr>
          <w:rFonts w:ascii="Times New Roman" w:hAnsi="Times New Roman" w:cs="Times New Roman"/>
          <w:color w:val="000000" w:themeColor="text1"/>
          <w:sz w:val="24"/>
          <w:szCs w:val="24"/>
        </w:rPr>
      </w:pPr>
      <w:r w:rsidRPr="00E372C3">
        <w:rPr>
          <w:rFonts w:ascii="Times New Roman" w:hAnsi="Times New Roman" w:cs="Times New Roman"/>
          <w:color w:val="000000" w:themeColor="text1"/>
          <w:sz w:val="24"/>
          <w:szCs w:val="24"/>
        </w:rPr>
        <w:t>Pal and Malik (2007)</w:t>
      </w:r>
      <w:r w:rsidR="000C7475">
        <w:rPr>
          <w:rFonts w:ascii="Times New Roman" w:hAnsi="Times New Roman" w:cs="Times New Roman"/>
          <w:color w:val="000000" w:themeColor="text1"/>
          <w:sz w:val="24"/>
          <w:szCs w:val="24"/>
        </w:rPr>
        <w:t>.</w:t>
      </w:r>
      <w:r w:rsidRPr="00E372C3">
        <w:rPr>
          <w:rFonts w:ascii="Times New Roman" w:hAnsi="Times New Roman" w:cs="Times New Roman"/>
          <w:color w:val="000000" w:themeColor="text1"/>
          <w:sz w:val="24"/>
          <w:szCs w:val="24"/>
        </w:rPr>
        <w:t xml:space="preserve"> examined the differences in financial characteristics of 74 (public, private and foreign) banks in India based on factors such as profitability, liquidity, risk and efficiency. Foreign banks are reported to have performed better compared to the other two categories of banks in general and particularly in terms of resource utilization.</w:t>
      </w:r>
    </w:p>
    <w:p w:rsidR="00E372C3" w:rsidRDefault="00E372C3" w:rsidP="00E372C3">
      <w:pPr>
        <w:shd w:val="clear" w:color="auto" w:fill="FFFFFF"/>
        <w:spacing w:after="0" w:line="360" w:lineRule="auto"/>
        <w:jc w:val="both"/>
        <w:rPr>
          <w:rFonts w:ascii="Times New Roman" w:hAnsi="Times New Roman" w:cs="Times New Roman"/>
          <w:color w:val="000000" w:themeColor="text1"/>
          <w:sz w:val="24"/>
          <w:szCs w:val="24"/>
        </w:rPr>
      </w:pPr>
      <w:r w:rsidRPr="00E372C3">
        <w:rPr>
          <w:rFonts w:ascii="Times New Roman" w:hAnsi="Times New Roman" w:cs="Times New Roman"/>
          <w:color w:val="000000" w:themeColor="text1"/>
          <w:sz w:val="24"/>
          <w:szCs w:val="24"/>
        </w:rPr>
        <w:t>Campbell (2007)</w:t>
      </w:r>
      <w:r w:rsidR="000C7475">
        <w:rPr>
          <w:rFonts w:ascii="Times New Roman" w:hAnsi="Times New Roman" w:cs="Times New Roman"/>
          <w:color w:val="000000" w:themeColor="text1"/>
          <w:sz w:val="24"/>
          <w:szCs w:val="24"/>
        </w:rPr>
        <w:t>.</w:t>
      </w:r>
      <w:r w:rsidRPr="00E372C3">
        <w:rPr>
          <w:rFonts w:ascii="Times New Roman" w:hAnsi="Times New Roman" w:cs="Times New Roman"/>
          <w:color w:val="000000" w:themeColor="text1"/>
          <w:sz w:val="24"/>
          <w:szCs w:val="24"/>
        </w:rPr>
        <w:t xml:space="preserve"> focused on the relationship between non-performing loans (NPLs) and bank failure and advocated an effective bank insolvency law to prevent and control non-performing loans for developing and transition economies as these countries suffer from severe problems due to non-performing loans. Emphasizing financial management, Singla (2008) examined the financial position of sixteen banks with respect to profitability, capital adequacy, debt capital and NPAs.</w:t>
      </w:r>
    </w:p>
    <w:p w:rsidR="00E372C3" w:rsidRDefault="00E372C3" w:rsidP="00E372C3">
      <w:pPr>
        <w:shd w:val="clear" w:color="auto" w:fill="FFFFFF"/>
        <w:spacing w:after="0" w:line="360" w:lineRule="auto"/>
        <w:jc w:val="both"/>
        <w:rPr>
          <w:rFonts w:ascii="Times New Roman" w:hAnsi="Times New Roman" w:cs="Times New Roman"/>
          <w:color w:val="000000" w:themeColor="text1"/>
          <w:sz w:val="24"/>
          <w:szCs w:val="24"/>
        </w:rPr>
      </w:pPr>
      <w:r w:rsidRPr="00E372C3">
        <w:rPr>
          <w:rFonts w:ascii="Times New Roman" w:hAnsi="Times New Roman" w:cs="Times New Roman"/>
          <w:color w:val="000000" w:themeColor="text1"/>
          <w:sz w:val="24"/>
          <w:szCs w:val="24"/>
        </w:rPr>
        <w:t>Dutta and Basak (2008)</w:t>
      </w:r>
      <w:r w:rsidR="000C7475">
        <w:rPr>
          <w:rFonts w:ascii="Times New Roman" w:hAnsi="Times New Roman" w:cs="Times New Roman"/>
          <w:color w:val="000000" w:themeColor="text1"/>
          <w:sz w:val="24"/>
          <w:szCs w:val="24"/>
        </w:rPr>
        <w:t>.</w:t>
      </w:r>
      <w:r w:rsidRPr="00E372C3">
        <w:rPr>
          <w:rFonts w:ascii="Times New Roman" w:hAnsi="Times New Roman" w:cs="Times New Roman"/>
          <w:color w:val="000000" w:themeColor="text1"/>
          <w:sz w:val="24"/>
          <w:szCs w:val="24"/>
        </w:rPr>
        <w:t xml:space="preserve"> suggested that cooperative banks should improve their enforcement, adopt a new computerized loan monitoring system, implement proper prudential norms and organize regular workshops to sustain themselves in the competitive banking environment.</w:t>
      </w:r>
    </w:p>
    <w:p w:rsidR="00817B10" w:rsidRPr="00817B10" w:rsidRDefault="00817B10" w:rsidP="0027270B">
      <w:pPr>
        <w:pStyle w:val="ListParagraph"/>
        <w:numPr>
          <w:ilvl w:val="0"/>
          <w:numId w:val="5"/>
        </w:numPr>
        <w:shd w:val="clear" w:color="auto" w:fill="FFFFFF"/>
        <w:spacing w:before="100" w:beforeAutospacing="1" w:after="0" w:line="360" w:lineRule="auto"/>
        <w:ind w:left="360"/>
        <w:jc w:val="both"/>
        <w:rPr>
          <w:rFonts w:ascii="Times New Roman" w:hAnsi="Times New Roman" w:cs="Times New Roman"/>
          <w:b/>
          <w:bCs/>
          <w:color w:val="000000" w:themeColor="text1"/>
          <w:sz w:val="28"/>
          <w:szCs w:val="28"/>
        </w:rPr>
      </w:pPr>
      <w:r w:rsidRPr="00817B10">
        <w:rPr>
          <w:rFonts w:ascii="Times New Roman" w:hAnsi="Times New Roman" w:cs="Times New Roman"/>
          <w:b/>
          <w:bCs/>
          <w:color w:val="000000" w:themeColor="text1"/>
          <w:sz w:val="28"/>
          <w:szCs w:val="28"/>
        </w:rPr>
        <w:lastRenderedPageBreak/>
        <w:t>Methodology</w:t>
      </w:r>
    </w:p>
    <w:p w:rsidR="00817B10" w:rsidRDefault="00817B10" w:rsidP="0027270B">
      <w:pPr>
        <w:shd w:val="clear" w:color="auto" w:fill="FFFFFF"/>
        <w:spacing w:before="100" w:beforeAutospacing="1" w:after="0" w:line="360" w:lineRule="auto"/>
        <w:jc w:val="both"/>
        <w:rPr>
          <w:rFonts w:ascii="Times New Roman" w:hAnsi="Times New Roman" w:cs="Times New Roman"/>
          <w:color w:val="000000" w:themeColor="text1"/>
          <w:sz w:val="24"/>
          <w:szCs w:val="24"/>
        </w:rPr>
      </w:pPr>
      <w:r w:rsidRPr="004A42C0">
        <w:rPr>
          <w:rFonts w:ascii="Times New Roman" w:hAnsi="Times New Roman" w:cs="Times New Roman"/>
          <w:color w:val="000000" w:themeColor="text1"/>
          <w:sz w:val="24"/>
          <w:szCs w:val="24"/>
        </w:rPr>
        <w:t xml:space="preserve">The present study </w:t>
      </w:r>
      <w:r>
        <w:rPr>
          <w:rFonts w:ascii="Times New Roman" w:hAnsi="Times New Roman" w:cs="Times New Roman"/>
          <w:color w:val="000000" w:themeColor="text1"/>
          <w:sz w:val="24"/>
          <w:szCs w:val="24"/>
        </w:rPr>
        <w:t xml:space="preserve">is based on </w:t>
      </w:r>
      <w:r w:rsidRPr="004A42C0">
        <w:rPr>
          <w:rFonts w:ascii="Times New Roman" w:hAnsi="Times New Roman" w:cs="Times New Roman"/>
          <w:color w:val="000000" w:themeColor="text1"/>
          <w:sz w:val="24"/>
          <w:szCs w:val="24"/>
        </w:rPr>
        <w:t xml:space="preserve">the secondary data. The necessary data has been collect from </w:t>
      </w:r>
      <w:r>
        <w:rPr>
          <w:rFonts w:ascii="Times New Roman" w:hAnsi="Times New Roman" w:cs="Times New Roman"/>
          <w:color w:val="000000" w:themeColor="text1"/>
          <w:sz w:val="24"/>
          <w:szCs w:val="24"/>
        </w:rPr>
        <w:t xml:space="preserve">various Government Reports, </w:t>
      </w:r>
      <w:r w:rsidRPr="004A42C0">
        <w:rPr>
          <w:rFonts w:ascii="Times New Roman" w:hAnsi="Times New Roman" w:cs="Times New Roman"/>
          <w:color w:val="000000" w:themeColor="text1"/>
          <w:sz w:val="24"/>
          <w:szCs w:val="24"/>
        </w:rPr>
        <w:t xml:space="preserve">reference books, </w:t>
      </w:r>
      <w:r>
        <w:rPr>
          <w:rFonts w:ascii="Times New Roman" w:hAnsi="Times New Roman" w:cs="Times New Roman"/>
          <w:color w:val="000000" w:themeColor="text1"/>
          <w:sz w:val="24"/>
          <w:szCs w:val="24"/>
        </w:rPr>
        <w:t xml:space="preserve">Research papers, </w:t>
      </w:r>
      <w:r w:rsidRPr="004A42C0">
        <w:rPr>
          <w:rFonts w:ascii="Times New Roman" w:hAnsi="Times New Roman" w:cs="Times New Roman"/>
          <w:color w:val="000000" w:themeColor="text1"/>
          <w:sz w:val="24"/>
          <w:szCs w:val="24"/>
        </w:rPr>
        <w:t>magazines, and RBI reports</w:t>
      </w:r>
      <w:r>
        <w:rPr>
          <w:rFonts w:ascii="Times New Roman" w:hAnsi="Times New Roman" w:cs="Times New Roman"/>
          <w:color w:val="000000" w:themeColor="text1"/>
          <w:sz w:val="24"/>
          <w:szCs w:val="24"/>
        </w:rPr>
        <w:t xml:space="preserve"> and database</w:t>
      </w:r>
      <w:r w:rsidRPr="004A42C0">
        <w:rPr>
          <w:rFonts w:ascii="Times New Roman" w:hAnsi="Times New Roman" w:cs="Times New Roman"/>
          <w:color w:val="000000" w:themeColor="text1"/>
          <w:sz w:val="24"/>
          <w:szCs w:val="24"/>
        </w:rPr>
        <w:t>.</w:t>
      </w:r>
    </w:p>
    <w:p w:rsidR="006218F1" w:rsidRDefault="00D13BFA" w:rsidP="00817B10">
      <w:pPr>
        <w:shd w:val="clear" w:color="auto" w:fill="FFFFFF"/>
        <w:spacing w:after="0"/>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Figure</w:t>
      </w:r>
      <w:r w:rsidR="00306C42" w:rsidRPr="00306C42">
        <w:rPr>
          <w:rFonts w:ascii="Times New Roman" w:hAnsi="Times New Roman" w:cs="Times New Roman"/>
          <w:b/>
          <w:bCs/>
          <w:color w:val="000000" w:themeColor="text1"/>
          <w:sz w:val="24"/>
          <w:szCs w:val="24"/>
        </w:rPr>
        <w:t>: 1</w:t>
      </w:r>
    </w:p>
    <w:p w:rsidR="00306C42" w:rsidRPr="00306C42" w:rsidRDefault="00306C42" w:rsidP="00817B10">
      <w:pPr>
        <w:shd w:val="clear" w:color="auto" w:fill="FFFFFF"/>
        <w:spacing w:after="0"/>
        <w:jc w:val="center"/>
        <w:rPr>
          <w:rFonts w:ascii="Times New Roman" w:hAnsi="Times New Roman" w:cs="Times New Roman"/>
          <w:b/>
          <w:bCs/>
          <w:color w:val="000000" w:themeColor="text1"/>
          <w:sz w:val="24"/>
          <w:szCs w:val="24"/>
        </w:rPr>
      </w:pPr>
      <w:r w:rsidRPr="00306C42">
        <w:rPr>
          <w:rFonts w:ascii="Times New Roman" w:hAnsi="Times New Roman" w:cs="Times New Roman"/>
          <w:b/>
          <w:bCs/>
          <w:color w:val="000000" w:themeColor="text1"/>
          <w:sz w:val="24"/>
          <w:szCs w:val="24"/>
        </w:rPr>
        <w:t xml:space="preserve">Structure of </w:t>
      </w:r>
      <w:r w:rsidRPr="00306C42">
        <w:rPr>
          <w:rFonts w:ascii="Times New Roman" w:eastAsia="Times New Roman" w:hAnsi="Times New Roman" w:cs="Times New Roman"/>
          <w:b/>
          <w:bCs/>
          <w:color w:val="000000"/>
          <w:sz w:val="24"/>
          <w:szCs w:val="24"/>
          <w:lang w:bidi="hi-IN"/>
        </w:rPr>
        <w:t>Urban Cooperative Banks (</w:t>
      </w:r>
      <w:r w:rsidRPr="00306C42">
        <w:rPr>
          <w:rFonts w:ascii="Times New Roman" w:hAnsi="Times New Roman" w:cs="Times New Roman"/>
          <w:b/>
          <w:bCs/>
          <w:color w:val="000000" w:themeColor="text1"/>
          <w:sz w:val="24"/>
          <w:szCs w:val="24"/>
        </w:rPr>
        <w:t xml:space="preserve">UCBs) in India            </w:t>
      </w:r>
    </w:p>
    <w:p w:rsidR="00306C42" w:rsidRDefault="00306C42" w:rsidP="00817B10">
      <w:pPr>
        <w:shd w:val="clear" w:color="auto" w:fill="FFFFFF"/>
        <w:spacing w:after="0"/>
        <w:jc w:val="center"/>
        <w:rPr>
          <w:rFonts w:ascii="Times New Roman" w:hAnsi="Times New Roman" w:cs="Times New Roman"/>
          <w:b/>
          <w:bCs/>
          <w:color w:val="000000" w:themeColor="text1"/>
          <w:sz w:val="24"/>
          <w:szCs w:val="24"/>
        </w:rPr>
      </w:pPr>
      <w:r w:rsidRPr="00306C42">
        <w:rPr>
          <w:rFonts w:ascii="Times New Roman" w:hAnsi="Times New Roman" w:cs="Times New Roman"/>
          <w:b/>
          <w:bCs/>
          <w:color w:val="000000" w:themeColor="text1"/>
          <w:sz w:val="24"/>
          <w:szCs w:val="24"/>
        </w:rPr>
        <w:t xml:space="preserve">(As on </w:t>
      </w:r>
      <w:r w:rsidR="006218F1" w:rsidRPr="00306C42">
        <w:rPr>
          <w:rFonts w:ascii="Times New Roman" w:hAnsi="Times New Roman" w:cs="Times New Roman"/>
          <w:b/>
          <w:bCs/>
          <w:color w:val="000000" w:themeColor="text1"/>
          <w:sz w:val="24"/>
          <w:szCs w:val="24"/>
        </w:rPr>
        <w:t xml:space="preserve">March </w:t>
      </w:r>
      <w:r w:rsidRPr="00306C42">
        <w:rPr>
          <w:rFonts w:ascii="Times New Roman" w:hAnsi="Times New Roman" w:cs="Times New Roman"/>
          <w:b/>
          <w:bCs/>
          <w:color w:val="000000" w:themeColor="text1"/>
          <w:sz w:val="24"/>
          <w:szCs w:val="24"/>
        </w:rPr>
        <w:t>31, 2022)</w:t>
      </w:r>
    </w:p>
    <w:p w:rsidR="005E0EEF" w:rsidRDefault="005E0EEF" w:rsidP="00817B10">
      <w:pPr>
        <w:shd w:val="clear" w:color="auto" w:fill="FFFFFF"/>
        <w:spacing w:after="0" w:line="240" w:lineRule="auto"/>
        <w:jc w:val="center"/>
        <w:rPr>
          <w:rFonts w:ascii="Times New Roman" w:hAnsi="Times New Roman" w:cs="Times New Roman"/>
          <w:b/>
          <w:bCs/>
          <w:color w:val="000000" w:themeColor="text1"/>
          <w:sz w:val="24"/>
          <w:szCs w:val="24"/>
        </w:rPr>
      </w:pPr>
    </w:p>
    <w:p w:rsidR="005E0EEF" w:rsidRPr="00306C42" w:rsidRDefault="005E0EEF" w:rsidP="00306C42">
      <w:pPr>
        <w:shd w:val="clear" w:color="auto" w:fill="FFFFFF"/>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lang w:bidi="hi-IN"/>
        </w:rPr>
        <w:drawing>
          <wp:inline distT="0" distB="0" distL="0" distR="0">
            <wp:extent cx="4429125" cy="2162175"/>
            <wp:effectExtent l="0" t="1905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236572" w:rsidRDefault="00730A77" w:rsidP="006218F1">
      <w:pPr>
        <w:tabs>
          <w:tab w:val="left" w:pos="3390"/>
        </w:tabs>
        <w:jc w:val="both"/>
        <w:rPr>
          <w:rFonts w:ascii="Times New Roman" w:hAnsi="Times New Roman" w:cs="Times New Roman"/>
          <w:sz w:val="24"/>
          <w:szCs w:val="24"/>
        </w:rPr>
      </w:pPr>
      <w:r>
        <w:rPr>
          <w:rFonts w:ascii="Times New Roman" w:hAnsi="Times New Roman" w:cs="Times New Roman"/>
          <w:sz w:val="24"/>
          <w:szCs w:val="24"/>
        </w:rPr>
        <w:t>Source: RBI’s database</w:t>
      </w:r>
    </w:p>
    <w:p w:rsidR="00D13BFA" w:rsidRDefault="00D13BFA" w:rsidP="00730A77">
      <w:pPr>
        <w:tabs>
          <w:tab w:val="left" w:pos="3390"/>
        </w:tabs>
        <w:rPr>
          <w:rFonts w:ascii="Times New Roman" w:hAnsi="Times New Roman" w:cs="Times New Roman"/>
          <w:sz w:val="24"/>
          <w:szCs w:val="24"/>
        </w:rPr>
      </w:pPr>
    </w:p>
    <w:p w:rsidR="00B73B5F" w:rsidRDefault="00D13BFA" w:rsidP="006218F1">
      <w:pPr>
        <w:tabs>
          <w:tab w:val="left" w:pos="3390"/>
        </w:tabs>
        <w:spacing w:line="360" w:lineRule="auto"/>
        <w:jc w:val="both"/>
        <w:rPr>
          <w:rFonts w:ascii="Arial" w:eastAsia="Times New Roman" w:hAnsi="Arial" w:cs="Arial"/>
          <w:b/>
          <w:bCs/>
          <w:lang w:bidi="hi-IN"/>
        </w:rPr>
      </w:pPr>
      <w:r w:rsidRPr="00D13BFA">
        <w:rPr>
          <w:rFonts w:ascii="Times New Roman" w:hAnsi="Times New Roman" w:cs="Times New Roman"/>
          <w:sz w:val="24"/>
          <w:szCs w:val="24"/>
        </w:rPr>
        <w:t>Figure 1 shows the structure of the present Urban Cooperative Banks of India.</w:t>
      </w:r>
      <w:r>
        <w:rPr>
          <w:rFonts w:ascii="Times New Roman" w:hAnsi="Times New Roman" w:cs="Times New Roman"/>
          <w:sz w:val="24"/>
          <w:szCs w:val="24"/>
        </w:rPr>
        <w:t xml:space="preserve"> </w:t>
      </w:r>
      <w:r w:rsidR="001A6092">
        <w:rPr>
          <w:rFonts w:ascii="Times New Roman" w:hAnsi="Times New Roman" w:cs="Times New Roman"/>
          <w:sz w:val="24"/>
          <w:szCs w:val="24"/>
        </w:rPr>
        <w:t xml:space="preserve"> </w:t>
      </w:r>
      <w:r w:rsidR="001A6092" w:rsidRPr="001A6092">
        <w:rPr>
          <w:rFonts w:ascii="Times New Roman" w:hAnsi="Times New Roman" w:cs="Times New Roman"/>
          <w:sz w:val="24"/>
          <w:szCs w:val="24"/>
        </w:rPr>
        <w:t xml:space="preserve">Presently the total </w:t>
      </w:r>
      <w:r w:rsidR="00864F4E" w:rsidRPr="001A6092">
        <w:rPr>
          <w:rFonts w:ascii="Times New Roman" w:hAnsi="Times New Roman" w:cs="Times New Roman"/>
          <w:sz w:val="24"/>
          <w:szCs w:val="24"/>
        </w:rPr>
        <w:t>numbers of Urban Cooperative Banks are</w:t>
      </w:r>
      <w:r w:rsidR="001A6092" w:rsidRPr="001A6092">
        <w:rPr>
          <w:rFonts w:ascii="Times New Roman" w:hAnsi="Times New Roman" w:cs="Times New Roman"/>
          <w:sz w:val="24"/>
          <w:szCs w:val="24"/>
        </w:rPr>
        <w:t xml:space="preserve"> 1514.</w:t>
      </w:r>
      <w:r w:rsidR="001A6092">
        <w:rPr>
          <w:rFonts w:ascii="Times New Roman" w:hAnsi="Times New Roman" w:cs="Times New Roman"/>
          <w:sz w:val="24"/>
          <w:szCs w:val="24"/>
        </w:rPr>
        <w:t xml:space="preserve"> </w:t>
      </w:r>
      <w:r w:rsidR="001A6092" w:rsidRPr="001A6092">
        <w:rPr>
          <w:rFonts w:ascii="Times New Roman" w:hAnsi="Times New Roman" w:cs="Times New Roman"/>
          <w:sz w:val="24"/>
          <w:szCs w:val="24"/>
        </w:rPr>
        <w:t>Which are divided into Scheduled UCBs (52) and Non-Scheduled UCBs (1462).</w:t>
      </w:r>
      <w:r w:rsidR="001A6092">
        <w:rPr>
          <w:rFonts w:ascii="Times New Roman" w:hAnsi="Times New Roman" w:cs="Times New Roman"/>
          <w:sz w:val="24"/>
          <w:szCs w:val="24"/>
        </w:rPr>
        <w:t xml:space="preserve"> </w:t>
      </w:r>
      <w:r w:rsidR="001A6092" w:rsidRPr="001A6092">
        <w:rPr>
          <w:rFonts w:ascii="Times New Roman" w:hAnsi="Times New Roman" w:cs="Times New Roman"/>
          <w:sz w:val="24"/>
          <w:szCs w:val="24"/>
        </w:rPr>
        <w:t>Here Scheduled UCBs and Non-Scheduled UCBs are also divided into two parts. The two parts of Scheduled UCBs are as follows Multi-State Scheduled UCBs (33) and Single-State Scheduled UCBs (19).</w:t>
      </w:r>
      <w:r w:rsidR="001A6092">
        <w:rPr>
          <w:rFonts w:ascii="Times New Roman" w:hAnsi="Times New Roman" w:cs="Times New Roman"/>
          <w:sz w:val="24"/>
          <w:szCs w:val="24"/>
        </w:rPr>
        <w:t xml:space="preserve"> </w:t>
      </w:r>
      <w:r w:rsidR="001A6092" w:rsidRPr="001A6092">
        <w:rPr>
          <w:rFonts w:ascii="Times New Roman" w:hAnsi="Times New Roman" w:cs="Times New Roman"/>
          <w:sz w:val="24"/>
          <w:szCs w:val="24"/>
        </w:rPr>
        <w:t>Similarly, two parts of Non-Scheduled UCBs are Multi-State Non-Scheduled UCBs (22) and Single-State Non-Scheduled UCBs (1440).</w:t>
      </w:r>
    </w:p>
    <w:p w:rsidR="00B73B5F" w:rsidRDefault="00B73B5F"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D84E08" w:rsidRDefault="00D84E08" w:rsidP="00A7704F">
      <w:pPr>
        <w:spacing w:after="0" w:line="240" w:lineRule="auto"/>
        <w:jc w:val="center"/>
        <w:rPr>
          <w:rFonts w:ascii="Arial" w:eastAsia="Times New Roman" w:hAnsi="Arial" w:cs="Arial"/>
          <w:b/>
          <w:bCs/>
          <w:lang w:bidi="hi-IN"/>
        </w:rPr>
      </w:pPr>
    </w:p>
    <w:p w:rsidR="00B30E4B" w:rsidRDefault="00B30E4B" w:rsidP="00A7704F">
      <w:pPr>
        <w:spacing w:after="0" w:line="240" w:lineRule="auto"/>
        <w:jc w:val="center"/>
        <w:rPr>
          <w:rFonts w:ascii="Arial" w:eastAsia="Times New Roman" w:hAnsi="Arial" w:cs="Arial"/>
          <w:b/>
          <w:bCs/>
          <w:lang w:bidi="hi-IN"/>
        </w:rPr>
      </w:pPr>
      <w:r>
        <w:rPr>
          <w:rFonts w:ascii="Arial" w:eastAsia="Times New Roman" w:hAnsi="Arial" w:cs="Arial"/>
          <w:b/>
          <w:bCs/>
          <w:lang w:bidi="hi-IN"/>
        </w:rPr>
        <w:lastRenderedPageBreak/>
        <w:t>Table: 1</w:t>
      </w:r>
    </w:p>
    <w:p w:rsidR="00B30E4B" w:rsidRDefault="002E209B" w:rsidP="00A7704F">
      <w:pPr>
        <w:spacing w:after="0" w:line="240" w:lineRule="auto"/>
        <w:jc w:val="center"/>
        <w:rPr>
          <w:rFonts w:ascii="Arial" w:eastAsia="Times New Roman" w:hAnsi="Arial" w:cs="Arial"/>
          <w:b/>
          <w:bCs/>
          <w:lang w:bidi="hi-IN"/>
        </w:rPr>
      </w:pPr>
      <w:r w:rsidRPr="00B30E4B">
        <w:rPr>
          <w:rFonts w:ascii="Arial" w:eastAsia="Times New Roman" w:hAnsi="Arial" w:cs="Arial"/>
          <w:b/>
          <w:bCs/>
          <w:lang w:bidi="hi-IN"/>
        </w:rPr>
        <w:t>Region</w:t>
      </w:r>
      <w:r>
        <w:rPr>
          <w:rFonts w:ascii="Arial" w:eastAsia="Times New Roman" w:hAnsi="Arial" w:cs="Arial"/>
          <w:b/>
          <w:bCs/>
          <w:lang w:bidi="hi-IN"/>
        </w:rPr>
        <w:t xml:space="preserve"> Wise</w:t>
      </w:r>
      <w:r w:rsidRPr="00B30E4B">
        <w:rPr>
          <w:rFonts w:ascii="Arial" w:eastAsia="Times New Roman" w:hAnsi="Arial" w:cs="Arial"/>
          <w:b/>
          <w:bCs/>
          <w:lang w:bidi="hi-IN"/>
        </w:rPr>
        <w:t xml:space="preserve"> </w:t>
      </w:r>
      <w:r w:rsidR="00B30E4B" w:rsidRPr="00B30E4B">
        <w:rPr>
          <w:rFonts w:ascii="Arial" w:eastAsia="Times New Roman" w:hAnsi="Arial" w:cs="Arial"/>
          <w:b/>
          <w:bCs/>
          <w:lang w:bidi="hi-IN"/>
        </w:rPr>
        <w:t xml:space="preserve">Distribution of UCBs </w:t>
      </w:r>
      <w:r>
        <w:rPr>
          <w:rFonts w:ascii="Arial" w:eastAsia="Times New Roman" w:hAnsi="Arial" w:cs="Arial"/>
          <w:b/>
          <w:bCs/>
          <w:lang w:bidi="hi-IN"/>
        </w:rPr>
        <w:t>in India</w:t>
      </w:r>
    </w:p>
    <w:p w:rsidR="00A7704F" w:rsidRPr="00A7704F" w:rsidRDefault="00A7704F" w:rsidP="00A7704F">
      <w:pPr>
        <w:spacing w:after="0" w:line="240" w:lineRule="auto"/>
        <w:jc w:val="center"/>
        <w:rPr>
          <w:rFonts w:ascii="Arial" w:eastAsia="Times New Roman" w:hAnsi="Arial" w:cs="Arial"/>
          <w:b/>
          <w:bCs/>
          <w:lang w:bidi="hi-IN"/>
        </w:rPr>
      </w:pPr>
      <w:r w:rsidRPr="00A7704F">
        <w:rPr>
          <w:rFonts w:ascii="Arial" w:eastAsia="Times New Roman" w:hAnsi="Arial" w:cs="Arial"/>
          <w:b/>
          <w:bCs/>
          <w:lang w:bidi="hi-IN"/>
        </w:rPr>
        <w:t>(As on March 31, 2022)</w:t>
      </w:r>
    </w:p>
    <w:p w:rsidR="009C3F43" w:rsidRPr="009C0AB0" w:rsidRDefault="009C3F43" w:rsidP="009C3F43">
      <w:pPr>
        <w:spacing w:after="0" w:line="240" w:lineRule="auto"/>
        <w:jc w:val="center"/>
        <w:rPr>
          <w:rFonts w:ascii="Arial" w:eastAsia="Times New Roman" w:hAnsi="Arial" w:cs="Arial"/>
          <w:sz w:val="20"/>
          <w:szCs w:val="20"/>
          <w:lang w:bidi="hi-IN"/>
        </w:rPr>
      </w:pPr>
      <w:r w:rsidRPr="009C3F43">
        <w:rPr>
          <w:rFonts w:ascii="Arial" w:eastAsia="Times New Roman" w:hAnsi="Arial" w:cs="Arial"/>
          <w:lang w:bidi="hi-IN"/>
        </w:rPr>
        <w:t xml:space="preserve">                                                                                           </w:t>
      </w:r>
      <w:r w:rsidR="009C0AB0">
        <w:rPr>
          <w:rFonts w:ascii="Arial" w:eastAsia="Times New Roman" w:hAnsi="Arial" w:cs="Arial"/>
          <w:lang w:bidi="hi-IN"/>
        </w:rPr>
        <w:t xml:space="preserve">                               </w:t>
      </w:r>
      <w:r w:rsidRPr="009C3F43">
        <w:rPr>
          <w:rFonts w:ascii="Arial" w:eastAsia="Times New Roman" w:hAnsi="Arial" w:cs="Arial"/>
          <w:sz w:val="20"/>
          <w:szCs w:val="20"/>
          <w:lang w:bidi="hi-IN"/>
        </w:rPr>
        <w:t>(</w:t>
      </w:r>
      <w:r w:rsidR="009C0AB0" w:rsidRPr="009C0AB0">
        <w:rPr>
          <w:rFonts w:ascii="Arial" w:eastAsia="Times New Roman" w:hAnsi="Arial" w:cs="Arial"/>
          <w:sz w:val="20"/>
          <w:szCs w:val="20"/>
          <w:lang w:bidi="hi-IN"/>
        </w:rPr>
        <w:t xml:space="preserve">Amount </w:t>
      </w:r>
      <w:r w:rsidRPr="009C3F43">
        <w:rPr>
          <w:rFonts w:ascii="Arial" w:eastAsia="Times New Roman" w:hAnsi="Arial" w:cs="Arial"/>
          <w:sz w:val="20"/>
          <w:szCs w:val="20"/>
          <w:lang w:bidi="hi-IN"/>
        </w:rPr>
        <w:t xml:space="preserve">in ₹ </w:t>
      </w:r>
      <w:r w:rsidR="009C0AB0" w:rsidRPr="009C3F43">
        <w:rPr>
          <w:rFonts w:ascii="Arial" w:eastAsia="Times New Roman" w:hAnsi="Arial" w:cs="Arial"/>
          <w:sz w:val="20"/>
          <w:szCs w:val="20"/>
          <w:lang w:bidi="hi-IN"/>
        </w:rPr>
        <w:t>Crore</w:t>
      </w:r>
      <w:r w:rsidRPr="009C3F43">
        <w:rPr>
          <w:rFonts w:ascii="Arial" w:eastAsia="Times New Roman" w:hAnsi="Arial" w:cs="Arial"/>
          <w:sz w:val="20"/>
          <w:szCs w:val="20"/>
          <w:lang w:bidi="hi-IN"/>
        </w:rPr>
        <w:t>)</w:t>
      </w:r>
    </w:p>
    <w:tbl>
      <w:tblPr>
        <w:tblW w:w="10600" w:type="dxa"/>
        <w:jc w:val="center"/>
        <w:tblInd w:w="93" w:type="dxa"/>
        <w:tblLook w:val="04A0"/>
      </w:tblPr>
      <w:tblGrid>
        <w:gridCol w:w="1281"/>
        <w:gridCol w:w="767"/>
        <w:gridCol w:w="1096"/>
        <w:gridCol w:w="1207"/>
        <w:gridCol w:w="1207"/>
        <w:gridCol w:w="1011"/>
        <w:gridCol w:w="1035"/>
        <w:gridCol w:w="1035"/>
        <w:gridCol w:w="1146"/>
        <w:gridCol w:w="815"/>
      </w:tblGrid>
      <w:tr w:rsidR="00977514" w:rsidRPr="00977514" w:rsidTr="00844C64">
        <w:trPr>
          <w:trHeight w:val="1275"/>
          <w:jc w:val="center"/>
        </w:trPr>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Region wise</w:t>
            </w:r>
          </w:p>
        </w:tc>
        <w:tc>
          <w:tcPr>
            <w:tcW w:w="344"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UCBs</w:t>
            </w:r>
          </w:p>
        </w:tc>
        <w:tc>
          <w:tcPr>
            <w:tcW w:w="1096"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Branches</w:t>
            </w:r>
          </w:p>
        </w:tc>
        <w:tc>
          <w:tcPr>
            <w:tcW w:w="1208"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 xml:space="preserve"> Deposits </w:t>
            </w:r>
          </w:p>
        </w:tc>
        <w:tc>
          <w:tcPr>
            <w:tcW w:w="1208"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 xml:space="preserve"> Advances </w:t>
            </w:r>
          </w:p>
        </w:tc>
        <w:tc>
          <w:tcPr>
            <w:tcW w:w="1011"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Total Districts</w:t>
            </w:r>
          </w:p>
        </w:tc>
        <w:tc>
          <w:tcPr>
            <w:tcW w:w="1036"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Districts with a presence of UCB</w:t>
            </w:r>
          </w:p>
        </w:tc>
        <w:tc>
          <w:tcPr>
            <w:tcW w:w="1036"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Districts without a presence of UCB</w:t>
            </w:r>
          </w:p>
        </w:tc>
        <w:tc>
          <w:tcPr>
            <w:tcW w:w="1146"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Extension Counters</w:t>
            </w:r>
          </w:p>
        </w:tc>
        <w:tc>
          <w:tcPr>
            <w:tcW w:w="815" w:type="dxa"/>
            <w:tcBorders>
              <w:top w:val="single" w:sz="4" w:space="0" w:color="auto"/>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No. of ATMs</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Northern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69</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419</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15,641.46</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7,984.87</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122</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68</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54</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23</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105</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North Eastern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16</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45</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1,714.05</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709.67</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120</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14</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106</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0</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0</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Eastern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57</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145</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8,547.78</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4,150.02</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124</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28</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96</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6</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30</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Central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125</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451</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15,944.22</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7,814.09</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173</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83</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90</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18</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143</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Western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700</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7,037</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390,155.67</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235,394.19</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74</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69</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108</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4,502</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lang w:bidi="hi-IN"/>
              </w:rPr>
            </w:pPr>
            <w:r w:rsidRPr="00B30E4B">
              <w:rPr>
                <w:rFonts w:ascii="Times New Roman" w:eastAsia="Times New Roman" w:hAnsi="Times New Roman" w:cs="Times New Roman"/>
                <w:lang w:bidi="hi-IN"/>
              </w:rPr>
              <w:t>Southern Region Total</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547</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2,232</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94,017.35</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58,688.06</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147</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126</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21</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14</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lang w:bidi="hi-IN"/>
              </w:rPr>
            </w:pPr>
            <w:r w:rsidRPr="00B30E4B">
              <w:rPr>
                <w:rFonts w:ascii="Times New Roman" w:eastAsia="Times New Roman" w:hAnsi="Times New Roman" w:cs="Times New Roman"/>
                <w:lang w:bidi="hi-IN"/>
              </w:rPr>
              <w:t>565</w:t>
            </w:r>
          </w:p>
        </w:tc>
      </w:tr>
      <w:tr w:rsidR="00977514" w:rsidRPr="00977514" w:rsidTr="00844C64">
        <w:trPr>
          <w:trHeight w:val="300"/>
          <w:jc w:val="center"/>
        </w:trPr>
        <w:tc>
          <w:tcPr>
            <w:tcW w:w="1700" w:type="dxa"/>
            <w:tcBorders>
              <w:top w:val="nil"/>
              <w:left w:val="single" w:sz="4" w:space="0" w:color="auto"/>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All India</w:t>
            </w:r>
          </w:p>
        </w:tc>
        <w:tc>
          <w:tcPr>
            <w:tcW w:w="344"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1,514</w:t>
            </w:r>
          </w:p>
        </w:tc>
        <w:tc>
          <w:tcPr>
            <w:tcW w:w="109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10,329</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526,020.52</w:t>
            </w:r>
          </w:p>
        </w:tc>
        <w:tc>
          <w:tcPr>
            <w:tcW w:w="1208"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314,740.91</w:t>
            </w:r>
          </w:p>
        </w:tc>
        <w:tc>
          <w:tcPr>
            <w:tcW w:w="1011"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760</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388</w:t>
            </w:r>
          </w:p>
        </w:tc>
        <w:tc>
          <w:tcPr>
            <w:tcW w:w="103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372</w:t>
            </w:r>
          </w:p>
        </w:tc>
        <w:tc>
          <w:tcPr>
            <w:tcW w:w="1146"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169</w:t>
            </w:r>
          </w:p>
        </w:tc>
        <w:tc>
          <w:tcPr>
            <w:tcW w:w="815" w:type="dxa"/>
            <w:tcBorders>
              <w:top w:val="nil"/>
              <w:left w:val="nil"/>
              <w:bottom w:val="single" w:sz="4" w:space="0" w:color="auto"/>
              <w:right w:val="single" w:sz="4" w:space="0" w:color="auto"/>
            </w:tcBorders>
            <w:shd w:val="clear" w:color="auto" w:fill="auto"/>
            <w:vAlign w:val="center"/>
            <w:hideMark/>
          </w:tcPr>
          <w:p w:rsidR="00B30E4B" w:rsidRPr="00B30E4B" w:rsidRDefault="00B30E4B" w:rsidP="00B30E4B">
            <w:pPr>
              <w:spacing w:after="0" w:line="240" w:lineRule="auto"/>
              <w:jc w:val="center"/>
              <w:rPr>
                <w:rFonts w:ascii="Times New Roman" w:eastAsia="Times New Roman" w:hAnsi="Times New Roman" w:cs="Times New Roman"/>
                <w:b/>
                <w:bCs/>
                <w:lang w:bidi="hi-IN"/>
              </w:rPr>
            </w:pPr>
            <w:r w:rsidRPr="00B30E4B">
              <w:rPr>
                <w:rFonts w:ascii="Times New Roman" w:eastAsia="Times New Roman" w:hAnsi="Times New Roman" w:cs="Times New Roman"/>
                <w:b/>
                <w:bCs/>
                <w:lang w:bidi="hi-IN"/>
              </w:rPr>
              <w:t>5,345</w:t>
            </w:r>
          </w:p>
        </w:tc>
      </w:tr>
    </w:tbl>
    <w:p w:rsidR="00B30E4B" w:rsidRDefault="00FC24DD" w:rsidP="006218F1">
      <w:pPr>
        <w:tabs>
          <w:tab w:val="left" w:pos="3390"/>
        </w:tabs>
        <w:jc w:val="both"/>
        <w:rPr>
          <w:rFonts w:ascii="Times New Roman" w:hAnsi="Times New Roman" w:cs="Times New Roman"/>
        </w:rPr>
      </w:pPr>
      <w:r>
        <w:rPr>
          <w:rFonts w:ascii="Times New Roman" w:hAnsi="Times New Roman" w:cs="Times New Roman"/>
        </w:rPr>
        <w:t>Source: RBI’s Database</w:t>
      </w:r>
    </w:p>
    <w:p w:rsidR="00B91CD9" w:rsidRPr="00B91CD9" w:rsidRDefault="00B91CD9" w:rsidP="00471366">
      <w:pPr>
        <w:tabs>
          <w:tab w:val="left" w:pos="3390"/>
        </w:tabs>
        <w:spacing w:line="360" w:lineRule="auto"/>
        <w:jc w:val="both"/>
        <w:rPr>
          <w:rFonts w:ascii="Times New Roman" w:hAnsi="Times New Roman" w:cs="Times New Roman"/>
          <w:sz w:val="24"/>
          <w:szCs w:val="24"/>
        </w:rPr>
      </w:pPr>
      <w:r w:rsidRPr="00B91CD9">
        <w:rPr>
          <w:rFonts w:ascii="Times New Roman" w:hAnsi="Times New Roman" w:cs="Times New Roman"/>
          <w:sz w:val="24"/>
          <w:szCs w:val="24"/>
        </w:rPr>
        <w:t>The above table 2 shows the geographical distribution of UCBs across India. The western region has the highest number of UCBs in India with 700 states including the states of Maharashtra, Gujarat and Goa. This state is also at the top in terms of financial inclusion.</w:t>
      </w:r>
      <w:r>
        <w:rPr>
          <w:rFonts w:ascii="Times New Roman" w:hAnsi="Times New Roman" w:cs="Times New Roman"/>
          <w:sz w:val="24"/>
          <w:szCs w:val="24"/>
        </w:rPr>
        <w:t xml:space="preserve"> </w:t>
      </w:r>
      <w:r w:rsidRPr="00B91CD9">
        <w:rPr>
          <w:rFonts w:ascii="Times New Roman" w:hAnsi="Times New Roman" w:cs="Times New Roman"/>
          <w:sz w:val="24"/>
          <w:szCs w:val="24"/>
        </w:rPr>
        <w:t>On the second number, there are 547 UCBs in the South Region, which includes the states of Karnataka, Tamil Nadu, Telangana and Andhra Pradesh.</w:t>
      </w:r>
    </w:p>
    <w:p w:rsidR="00B91CD9" w:rsidRDefault="00B91CD9" w:rsidP="00471366">
      <w:pPr>
        <w:tabs>
          <w:tab w:val="left" w:pos="3390"/>
        </w:tabs>
        <w:spacing w:line="360" w:lineRule="auto"/>
        <w:jc w:val="both"/>
        <w:rPr>
          <w:rFonts w:ascii="Times New Roman" w:hAnsi="Times New Roman" w:cs="Times New Roman"/>
          <w:sz w:val="24"/>
          <w:szCs w:val="24"/>
        </w:rPr>
      </w:pPr>
      <w:r w:rsidRPr="00B91CD9">
        <w:rPr>
          <w:rFonts w:ascii="Times New Roman" w:hAnsi="Times New Roman" w:cs="Times New Roman"/>
          <w:sz w:val="24"/>
          <w:szCs w:val="24"/>
        </w:rPr>
        <w:t>The region with the least UCB is Eastern and North Eastern, in which the number of UCBs is 57 and 16 respectively. North Eastern includes the states of Assam, Manipur and Meghalaya.</w:t>
      </w:r>
      <w:r w:rsidR="006A4E35">
        <w:rPr>
          <w:rFonts w:ascii="Times New Roman" w:hAnsi="Times New Roman" w:cs="Times New Roman"/>
          <w:sz w:val="24"/>
          <w:szCs w:val="24"/>
        </w:rPr>
        <w:t xml:space="preserve"> </w:t>
      </w:r>
      <w:r w:rsidR="006A4E35" w:rsidRPr="006A4E35">
        <w:rPr>
          <w:rFonts w:ascii="Times New Roman" w:hAnsi="Times New Roman" w:cs="Times New Roman"/>
          <w:sz w:val="24"/>
          <w:szCs w:val="24"/>
        </w:rPr>
        <w:t>Thus at present there are total 1514 UCBs working in India.</w:t>
      </w:r>
    </w:p>
    <w:p w:rsidR="008A452C" w:rsidRDefault="008A452C" w:rsidP="008A452C">
      <w:pPr>
        <w:spacing w:after="0" w:line="240" w:lineRule="auto"/>
        <w:jc w:val="center"/>
        <w:rPr>
          <w:rFonts w:ascii="Arial" w:eastAsia="Times New Roman" w:hAnsi="Arial" w:cs="Arial"/>
          <w:b/>
          <w:bCs/>
          <w:lang w:bidi="hi-IN"/>
        </w:rPr>
      </w:pPr>
    </w:p>
    <w:p w:rsidR="008A452C" w:rsidRDefault="008A452C" w:rsidP="008A452C">
      <w:pPr>
        <w:spacing w:after="0" w:line="240" w:lineRule="auto"/>
        <w:jc w:val="center"/>
        <w:rPr>
          <w:rFonts w:ascii="Arial" w:eastAsia="Times New Roman" w:hAnsi="Arial" w:cs="Arial"/>
          <w:b/>
          <w:bCs/>
          <w:lang w:bidi="hi-IN"/>
        </w:rPr>
      </w:pPr>
    </w:p>
    <w:p w:rsidR="008A452C" w:rsidRDefault="008A452C" w:rsidP="008A452C">
      <w:pPr>
        <w:spacing w:after="0" w:line="240" w:lineRule="auto"/>
        <w:jc w:val="center"/>
        <w:rPr>
          <w:rFonts w:ascii="Arial" w:eastAsia="Times New Roman" w:hAnsi="Arial" w:cs="Arial"/>
          <w:b/>
          <w:bCs/>
          <w:lang w:bidi="hi-IN"/>
        </w:rPr>
      </w:pPr>
    </w:p>
    <w:p w:rsidR="008A452C" w:rsidRDefault="008A452C" w:rsidP="008A452C">
      <w:pPr>
        <w:spacing w:after="0" w:line="240" w:lineRule="auto"/>
        <w:jc w:val="center"/>
        <w:rPr>
          <w:rFonts w:ascii="Arial" w:eastAsia="Times New Roman" w:hAnsi="Arial" w:cs="Arial"/>
          <w:b/>
          <w:bCs/>
          <w:lang w:bidi="hi-IN"/>
        </w:rPr>
      </w:pPr>
    </w:p>
    <w:p w:rsidR="008A452C" w:rsidRPr="00D41E3D" w:rsidRDefault="008A452C" w:rsidP="008A452C">
      <w:pPr>
        <w:tabs>
          <w:tab w:val="left" w:pos="4095"/>
          <w:tab w:val="center" w:pos="4680"/>
        </w:tabs>
        <w:spacing w:after="0" w:line="240" w:lineRule="auto"/>
        <w:rPr>
          <w:rFonts w:ascii="Times New Roman" w:eastAsia="Times New Roman" w:hAnsi="Times New Roman" w:cs="Times New Roman"/>
          <w:b/>
          <w:bCs/>
          <w:sz w:val="24"/>
          <w:szCs w:val="24"/>
          <w:lang w:bidi="hi-IN"/>
        </w:rPr>
      </w:pPr>
      <w:r w:rsidRPr="008A452C">
        <w:rPr>
          <w:rFonts w:ascii="Times New Roman" w:eastAsia="Times New Roman" w:hAnsi="Times New Roman" w:cs="Times New Roman"/>
          <w:b/>
          <w:bCs/>
          <w:lang w:bidi="hi-IN"/>
        </w:rPr>
        <w:lastRenderedPageBreak/>
        <w:tab/>
      </w:r>
      <w:r>
        <w:rPr>
          <w:rFonts w:ascii="Arial" w:eastAsia="Times New Roman" w:hAnsi="Arial" w:cs="Arial"/>
          <w:b/>
          <w:bCs/>
          <w:lang w:bidi="hi-IN"/>
        </w:rPr>
        <w:tab/>
      </w:r>
      <w:r w:rsidRPr="00D41E3D">
        <w:rPr>
          <w:rFonts w:ascii="Times New Roman" w:eastAsia="Times New Roman" w:hAnsi="Times New Roman" w:cs="Times New Roman"/>
          <w:b/>
          <w:bCs/>
          <w:sz w:val="24"/>
          <w:szCs w:val="24"/>
          <w:lang w:bidi="hi-IN"/>
        </w:rPr>
        <w:t>Figure: 2</w:t>
      </w:r>
    </w:p>
    <w:p w:rsidR="008A452C" w:rsidRPr="00D41E3D" w:rsidRDefault="008A452C" w:rsidP="008A452C">
      <w:pPr>
        <w:spacing w:after="0" w:line="240" w:lineRule="auto"/>
        <w:jc w:val="center"/>
        <w:rPr>
          <w:rFonts w:ascii="Times New Roman" w:eastAsia="Times New Roman" w:hAnsi="Times New Roman" w:cs="Times New Roman"/>
          <w:b/>
          <w:bCs/>
          <w:sz w:val="24"/>
          <w:szCs w:val="24"/>
          <w:lang w:bidi="hi-IN"/>
        </w:rPr>
      </w:pPr>
      <w:r w:rsidRPr="00D41E3D">
        <w:rPr>
          <w:rFonts w:ascii="Times New Roman" w:eastAsia="Times New Roman" w:hAnsi="Times New Roman" w:cs="Times New Roman"/>
          <w:b/>
          <w:bCs/>
          <w:sz w:val="24"/>
          <w:szCs w:val="24"/>
          <w:lang w:bidi="hi-IN"/>
        </w:rPr>
        <w:t xml:space="preserve">Regional Distribution of ATMs of UCBs </w:t>
      </w:r>
    </w:p>
    <w:p w:rsidR="008A452C" w:rsidRDefault="008A452C" w:rsidP="008A452C">
      <w:pPr>
        <w:spacing w:after="0" w:line="240" w:lineRule="auto"/>
        <w:jc w:val="center"/>
        <w:rPr>
          <w:rFonts w:ascii="Times New Roman" w:eastAsia="Times New Roman" w:hAnsi="Times New Roman" w:cs="Times New Roman"/>
          <w:b/>
          <w:bCs/>
          <w:sz w:val="24"/>
          <w:szCs w:val="24"/>
          <w:lang w:bidi="hi-IN"/>
        </w:rPr>
      </w:pPr>
      <w:r w:rsidRPr="00D41E3D">
        <w:rPr>
          <w:rFonts w:ascii="Times New Roman" w:eastAsia="Times New Roman" w:hAnsi="Times New Roman" w:cs="Times New Roman"/>
          <w:b/>
          <w:bCs/>
          <w:sz w:val="24"/>
          <w:szCs w:val="24"/>
          <w:lang w:bidi="hi-IN"/>
        </w:rPr>
        <w:t>(As on March 31, 2022)</w:t>
      </w:r>
    </w:p>
    <w:p w:rsidR="00D41E3D" w:rsidRPr="00D41E3D" w:rsidRDefault="00D41E3D" w:rsidP="008A452C">
      <w:pPr>
        <w:spacing w:after="0" w:line="240" w:lineRule="auto"/>
        <w:jc w:val="center"/>
        <w:rPr>
          <w:rFonts w:ascii="Times New Roman" w:eastAsia="Times New Roman" w:hAnsi="Times New Roman" w:cs="Times New Roman"/>
          <w:b/>
          <w:bCs/>
          <w:sz w:val="24"/>
          <w:szCs w:val="24"/>
          <w:lang w:bidi="hi-IN"/>
        </w:rPr>
      </w:pPr>
    </w:p>
    <w:p w:rsidR="008A452C" w:rsidRDefault="008A452C" w:rsidP="008A452C">
      <w:pPr>
        <w:tabs>
          <w:tab w:val="left" w:pos="3390"/>
        </w:tabs>
        <w:spacing w:line="360" w:lineRule="auto"/>
        <w:jc w:val="center"/>
        <w:rPr>
          <w:rFonts w:ascii="Times New Roman" w:hAnsi="Times New Roman" w:cs="Times New Roman"/>
          <w:sz w:val="24"/>
          <w:szCs w:val="24"/>
        </w:rPr>
      </w:pPr>
      <w:r w:rsidRPr="008A452C">
        <w:rPr>
          <w:rFonts w:ascii="Times New Roman" w:hAnsi="Times New Roman" w:cs="Times New Roman"/>
          <w:noProof/>
          <w:sz w:val="24"/>
          <w:szCs w:val="24"/>
          <w:lang w:bidi="hi-IN"/>
        </w:rPr>
        <w:drawing>
          <wp:inline distT="0" distB="0" distL="0" distR="0">
            <wp:extent cx="4667250" cy="2838450"/>
            <wp:effectExtent l="19050" t="0" r="1905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75D54" w:rsidRDefault="00875D54" w:rsidP="00875D54">
      <w:pPr>
        <w:tabs>
          <w:tab w:val="left" w:pos="3390"/>
        </w:tabs>
        <w:rPr>
          <w:rFonts w:ascii="Times New Roman" w:hAnsi="Times New Roman" w:cs="Times New Roman"/>
          <w:sz w:val="20"/>
          <w:szCs w:val="20"/>
        </w:rPr>
      </w:pPr>
      <w:r w:rsidRPr="009C0AB0">
        <w:rPr>
          <w:rFonts w:ascii="Times New Roman" w:hAnsi="Times New Roman" w:cs="Times New Roman"/>
          <w:sz w:val="20"/>
          <w:szCs w:val="20"/>
        </w:rPr>
        <w:t>Source: RBI’s Database</w:t>
      </w:r>
    </w:p>
    <w:p w:rsidR="00D84E08" w:rsidRPr="006F619E" w:rsidRDefault="00FC400E" w:rsidP="006F619E">
      <w:pPr>
        <w:tabs>
          <w:tab w:val="left" w:pos="3390"/>
        </w:tabs>
        <w:spacing w:line="360" w:lineRule="auto"/>
        <w:jc w:val="both"/>
        <w:rPr>
          <w:rFonts w:ascii="Times New Roman" w:hAnsi="Times New Roman" w:cs="Times New Roman"/>
          <w:color w:val="000000" w:themeColor="text1"/>
          <w:sz w:val="24"/>
          <w:szCs w:val="24"/>
        </w:rPr>
      </w:pPr>
      <w:r w:rsidRPr="006F619E">
        <w:rPr>
          <w:rFonts w:ascii="Times New Roman" w:hAnsi="Times New Roman" w:cs="Times New Roman"/>
          <w:color w:val="000000" w:themeColor="text1"/>
          <w:sz w:val="24"/>
          <w:szCs w:val="24"/>
        </w:rPr>
        <w:t>The Figure 2 shows that the number of UCB</w:t>
      </w:r>
      <w:r w:rsidR="00D41E3D">
        <w:rPr>
          <w:rFonts w:ascii="Times New Roman" w:hAnsi="Times New Roman" w:cs="Times New Roman"/>
          <w:color w:val="000000" w:themeColor="text1"/>
          <w:sz w:val="24"/>
          <w:szCs w:val="24"/>
        </w:rPr>
        <w:t>s</w:t>
      </w:r>
      <w:r w:rsidRPr="006F619E">
        <w:rPr>
          <w:rFonts w:ascii="Times New Roman" w:hAnsi="Times New Roman" w:cs="Times New Roman"/>
          <w:color w:val="000000" w:themeColor="text1"/>
          <w:sz w:val="24"/>
          <w:szCs w:val="24"/>
        </w:rPr>
        <w:t xml:space="preserve"> ATMs is more in the western region because of the higher number of UCBs there. The number of ATMs declined within three years in the West. But as the data shows, there is an increasing trend in the number of ATMs in South, North and Central. This is a positive sign of increasing reach of UCBs in these areas. The number of ATMs in the North Eastern region is negligible.</w:t>
      </w:r>
    </w:p>
    <w:p w:rsidR="002C75A1" w:rsidRPr="00844C64" w:rsidRDefault="00471366" w:rsidP="00844C64">
      <w:pPr>
        <w:pStyle w:val="ListParagraph"/>
        <w:numPr>
          <w:ilvl w:val="1"/>
          <w:numId w:val="5"/>
        </w:numPr>
        <w:spacing w:after="0" w:line="240" w:lineRule="auto"/>
        <w:ind w:left="720"/>
        <w:jc w:val="both"/>
        <w:rPr>
          <w:rFonts w:ascii="Times New Roman" w:eastAsia="Times New Roman" w:hAnsi="Times New Roman" w:cs="Times New Roman"/>
          <w:b/>
          <w:bCs/>
          <w:sz w:val="28"/>
          <w:szCs w:val="28"/>
          <w:lang w:bidi="hi-IN"/>
        </w:rPr>
      </w:pPr>
      <w:r w:rsidRPr="00844C64">
        <w:rPr>
          <w:rFonts w:ascii="Times New Roman" w:eastAsia="Times New Roman" w:hAnsi="Times New Roman" w:cs="Times New Roman"/>
          <w:b/>
          <w:bCs/>
          <w:sz w:val="28"/>
          <w:szCs w:val="28"/>
          <w:lang w:bidi="hi-IN"/>
        </w:rPr>
        <w:t xml:space="preserve">Role of </w:t>
      </w:r>
      <w:r w:rsidR="008A75A7" w:rsidRPr="00844C64">
        <w:rPr>
          <w:rFonts w:ascii="Times New Roman" w:eastAsia="Times New Roman" w:hAnsi="Times New Roman" w:cs="Times New Roman"/>
          <w:b/>
          <w:bCs/>
          <w:sz w:val="28"/>
          <w:szCs w:val="28"/>
          <w:lang w:bidi="hi-IN"/>
        </w:rPr>
        <w:t xml:space="preserve">Urban Cooperative Banks </w:t>
      </w:r>
      <w:r w:rsidRPr="00844C64">
        <w:rPr>
          <w:rFonts w:ascii="Times New Roman" w:eastAsia="Times New Roman" w:hAnsi="Times New Roman" w:cs="Times New Roman"/>
          <w:b/>
          <w:bCs/>
          <w:sz w:val="28"/>
          <w:szCs w:val="28"/>
          <w:lang w:bidi="hi-IN"/>
        </w:rPr>
        <w:t xml:space="preserve">(UCBs) in </w:t>
      </w:r>
      <w:r w:rsidR="008A75A7">
        <w:rPr>
          <w:rFonts w:ascii="Times New Roman" w:eastAsia="Times New Roman" w:hAnsi="Times New Roman" w:cs="Times New Roman"/>
          <w:b/>
          <w:bCs/>
          <w:sz w:val="28"/>
          <w:szCs w:val="28"/>
          <w:lang w:bidi="hi-IN"/>
        </w:rPr>
        <w:t>Priority</w:t>
      </w:r>
      <w:r w:rsidRPr="00844C64">
        <w:rPr>
          <w:rFonts w:ascii="Times New Roman" w:eastAsia="Times New Roman" w:hAnsi="Times New Roman" w:cs="Times New Roman"/>
          <w:b/>
          <w:bCs/>
          <w:sz w:val="28"/>
          <w:szCs w:val="28"/>
          <w:lang w:bidi="hi-IN"/>
        </w:rPr>
        <w:t xml:space="preserve"> sector </w:t>
      </w:r>
      <w:r w:rsidR="008A75A7">
        <w:rPr>
          <w:rFonts w:ascii="Times New Roman" w:eastAsia="Times New Roman" w:hAnsi="Times New Roman" w:cs="Times New Roman"/>
          <w:b/>
          <w:bCs/>
          <w:sz w:val="28"/>
          <w:szCs w:val="28"/>
          <w:lang w:bidi="hi-IN"/>
        </w:rPr>
        <w:t xml:space="preserve">and weaker section </w:t>
      </w:r>
      <w:r w:rsidR="003E095F">
        <w:rPr>
          <w:rFonts w:ascii="Times New Roman" w:eastAsia="Times New Roman" w:hAnsi="Times New Roman" w:cs="Times New Roman"/>
          <w:b/>
          <w:bCs/>
          <w:sz w:val="28"/>
          <w:szCs w:val="28"/>
          <w:lang w:bidi="hi-IN"/>
        </w:rPr>
        <w:t>of</w:t>
      </w:r>
      <w:r w:rsidRPr="00844C64">
        <w:rPr>
          <w:rFonts w:ascii="Times New Roman" w:eastAsia="Times New Roman" w:hAnsi="Times New Roman" w:cs="Times New Roman"/>
          <w:b/>
          <w:bCs/>
          <w:sz w:val="28"/>
          <w:szCs w:val="28"/>
          <w:lang w:bidi="hi-IN"/>
        </w:rPr>
        <w:t xml:space="preserve"> India</w:t>
      </w:r>
    </w:p>
    <w:p w:rsidR="00920C75" w:rsidRDefault="00920C75" w:rsidP="00920C75">
      <w:pPr>
        <w:shd w:val="clear" w:color="auto" w:fill="FFFFFF"/>
        <w:spacing w:before="100" w:beforeAutospacing="1" w:after="100" w:afterAutospacing="1" w:line="360" w:lineRule="auto"/>
        <w:jc w:val="both"/>
        <w:rPr>
          <w:rFonts w:ascii="Times New Roman" w:hAnsi="Times New Roman" w:cs="Times New Roman"/>
          <w:sz w:val="24"/>
          <w:szCs w:val="24"/>
        </w:rPr>
      </w:pPr>
      <w:r w:rsidRPr="00920C75">
        <w:rPr>
          <w:rFonts w:ascii="Times New Roman" w:eastAsia="Times New Roman" w:hAnsi="Times New Roman" w:cs="Times New Roman"/>
          <w:sz w:val="24"/>
          <w:szCs w:val="24"/>
          <w:lang w:bidi="hi-IN"/>
        </w:rPr>
        <w:t>Urban cooperative banks are primarily localized financial service providers that have been operating for more than a century. Their specialty is catering for the lower middle class and people with limited resources, as well as the self-employed and micro-enterprises.</w:t>
      </w:r>
      <w:r>
        <w:rPr>
          <w:rFonts w:ascii="Times New Roman" w:eastAsia="Times New Roman" w:hAnsi="Times New Roman" w:cs="Times New Roman"/>
          <w:sz w:val="24"/>
          <w:szCs w:val="24"/>
          <w:lang w:bidi="hi-IN"/>
        </w:rPr>
        <w:t xml:space="preserve"> These </w:t>
      </w:r>
      <w:r w:rsidRPr="00880B73">
        <w:rPr>
          <w:rFonts w:ascii="Times New Roman" w:eastAsia="Times New Roman" w:hAnsi="Times New Roman" w:cs="Times New Roman"/>
          <w:sz w:val="24"/>
          <w:szCs w:val="24"/>
          <w:lang w:bidi="hi-IN"/>
        </w:rPr>
        <w:t xml:space="preserve">banks play an important </w:t>
      </w:r>
      <w:r w:rsidRPr="00920C75">
        <w:rPr>
          <w:rFonts w:ascii="Times New Roman" w:hAnsi="Times New Roman" w:cs="Times New Roman"/>
          <w:sz w:val="24"/>
          <w:szCs w:val="24"/>
        </w:rPr>
        <w:t>role in mobilizing deposits and financing the small borrower sector, which includes small scale industries, professionals, and retailers and so on. UCBs have been instrumental in providing financial assistance to the rural sector.</w:t>
      </w:r>
    </w:p>
    <w:p w:rsidR="002E1E89" w:rsidRDefault="002E1E89" w:rsidP="00920C75">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hi-IN"/>
        </w:rPr>
      </w:pPr>
      <w:r w:rsidRPr="002E1E89">
        <w:rPr>
          <w:rFonts w:ascii="Times New Roman" w:eastAsia="Times New Roman" w:hAnsi="Times New Roman" w:cs="Times New Roman"/>
          <w:sz w:val="24"/>
          <w:szCs w:val="24"/>
          <w:lang w:bidi="hi-IN"/>
        </w:rPr>
        <w:lastRenderedPageBreak/>
        <w:t>The concept of 'priority sector lending' focuses on the idea of directing banks' lending towards certain specified sectors and activities in the economy. The term 'priority sector' indicates those activities which have national importance and have been given priority for development. These mainly include agriculture, small scale industries etc. It is also the case that these sectors and activities were neglected for bank credit and hence for access to credit, these neglected sectors are considered to be the priority for providing credit.</w:t>
      </w:r>
    </w:p>
    <w:p w:rsidR="002E1E89" w:rsidRPr="002A004D" w:rsidRDefault="002E1E89" w:rsidP="002E1E89">
      <w:pPr>
        <w:tabs>
          <w:tab w:val="left" w:pos="3390"/>
        </w:tabs>
        <w:spacing w:line="360" w:lineRule="auto"/>
        <w:jc w:val="both"/>
        <w:rPr>
          <w:rFonts w:ascii="Times New Roman" w:hAnsi="Times New Roman" w:cs="Times New Roman"/>
          <w:sz w:val="24"/>
          <w:szCs w:val="24"/>
        </w:rPr>
      </w:pPr>
      <w:r w:rsidRPr="002A004D">
        <w:rPr>
          <w:rFonts w:ascii="Times New Roman" w:hAnsi="Times New Roman" w:cs="Times New Roman"/>
          <w:sz w:val="24"/>
          <w:szCs w:val="24"/>
        </w:rPr>
        <w:t xml:space="preserve">The total financial facilities provided by Urban Co-operative Banks for Priority Sector (PSA) are given in Table </w:t>
      </w:r>
      <w:r>
        <w:rPr>
          <w:rFonts w:ascii="Times New Roman" w:hAnsi="Times New Roman" w:cs="Times New Roman"/>
          <w:sz w:val="24"/>
          <w:szCs w:val="24"/>
        </w:rPr>
        <w:t>2</w:t>
      </w:r>
      <w:r w:rsidRPr="002A004D">
        <w:rPr>
          <w:rFonts w:ascii="Times New Roman" w:hAnsi="Times New Roman" w:cs="Times New Roman"/>
          <w:sz w:val="24"/>
          <w:szCs w:val="24"/>
        </w:rPr>
        <w:t>. Cooperative Urban Bank has provided financial facility of only 4.20 percent to the agricultural sector under the urban sector; firm credit and agricultural basic infrastructure and other additional works come under the agricultural sector. Under which 3.13 percent financial facility has been provided to maximum firm credit and only 0.29 percent financial facility for agricultural infrastructure and 0.78 percent financial facility for other works.</w:t>
      </w:r>
    </w:p>
    <w:p w:rsidR="002C75A1" w:rsidRPr="002C75A1" w:rsidRDefault="002C75A1" w:rsidP="002C75A1">
      <w:pPr>
        <w:spacing w:after="0" w:line="240" w:lineRule="auto"/>
        <w:jc w:val="center"/>
        <w:rPr>
          <w:rFonts w:ascii="Times New Roman" w:eastAsia="Times New Roman" w:hAnsi="Times New Roman" w:cs="Times New Roman"/>
          <w:b/>
          <w:bCs/>
          <w:sz w:val="24"/>
          <w:szCs w:val="24"/>
          <w:lang w:bidi="hi-IN"/>
        </w:rPr>
      </w:pPr>
      <w:r w:rsidRPr="002C75A1">
        <w:rPr>
          <w:rFonts w:ascii="Times New Roman" w:eastAsia="Times New Roman" w:hAnsi="Times New Roman" w:cs="Times New Roman"/>
          <w:b/>
          <w:bCs/>
          <w:sz w:val="24"/>
          <w:szCs w:val="24"/>
          <w:lang w:bidi="hi-IN"/>
        </w:rPr>
        <w:t>Table:</w:t>
      </w:r>
      <w:r w:rsidR="004150BA">
        <w:rPr>
          <w:rFonts w:ascii="Times New Roman" w:eastAsia="Times New Roman" w:hAnsi="Times New Roman" w:cs="Times New Roman"/>
          <w:b/>
          <w:bCs/>
          <w:sz w:val="24"/>
          <w:szCs w:val="24"/>
          <w:lang w:bidi="hi-IN"/>
        </w:rPr>
        <w:t xml:space="preserve"> 2</w:t>
      </w:r>
    </w:p>
    <w:p w:rsidR="002C75A1" w:rsidRPr="002C75A1" w:rsidRDefault="002C75A1" w:rsidP="002C75A1">
      <w:pPr>
        <w:spacing w:after="0" w:line="240" w:lineRule="auto"/>
        <w:jc w:val="center"/>
        <w:rPr>
          <w:rFonts w:ascii="Times New Roman" w:eastAsia="Times New Roman" w:hAnsi="Times New Roman" w:cs="Times New Roman"/>
          <w:b/>
          <w:bCs/>
          <w:sz w:val="24"/>
          <w:szCs w:val="24"/>
          <w:lang w:bidi="hi-IN"/>
        </w:rPr>
      </w:pPr>
      <w:r w:rsidRPr="002C75A1">
        <w:rPr>
          <w:rFonts w:ascii="Times New Roman" w:eastAsia="Times New Roman" w:hAnsi="Times New Roman" w:cs="Times New Roman"/>
          <w:b/>
          <w:bCs/>
          <w:sz w:val="24"/>
          <w:szCs w:val="24"/>
          <w:lang w:bidi="hi-IN"/>
        </w:rPr>
        <w:t>Top Priority and Weaker Section to Advances of Urban Co-operative Banks in India</w:t>
      </w:r>
    </w:p>
    <w:p w:rsidR="009C0AB0" w:rsidRDefault="00DA4E92" w:rsidP="00DA4E92">
      <w:pPr>
        <w:tabs>
          <w:tab w:val="left" w:pos="3390"/>
        </w:tabs>
        <w:jc w:val="right"/>
        <w:rPr>
          <w:rFonts w:ascii="Times New Roman" w:hAnsi="Times New Roman" w:cs="Times New Roman"/>
        </w:rPr>
      </w:pPr>
      <w:r>
        <w:rPr>
          <w:rFonts w:ascii="Arial" w:eastAsia="Times New Roman" w:hAnsi="Arial" w:cs="Arial"/>
          <w:sz w:val="20"/>
          <w:szCs w:val="20"/>
          <w:lang w:bidi="hi-IN"/>
        </w:rPr>
        <w:t>(</w:t>
      </w:r>
      <w:r w:rsidRPr="009C0AB0">
        <w:rPr>
          <w:rFonts w:ascii="Arial" w:eastAsia="Times New Roman" w:hAnsi="Arial" w:cs="Arial"/>
          <w:sz w:val="20"/>
          <w:szCs w:val="20"/>
          <w:lang w:bidi="hi-IN"/>
        </w:rPr>
        <w:t xml:space="preserve">Amount </w:t>
      </w:r>
      <w:r w:rsidRPr="009C3F43">
        <w:rPr>
          <w:rFonts w:ascii="Arial" w:eastAsia="Times New Roman" w:hAnsi="Arial" w:cs="Arial"/>
          <w:sz w:val="20"/>
          <w:szCs w:val="20"/>
          <w:lang w:bidi="hi-IN"/>
        </w:rPr>
        <w:t>in ₹ Crore)</w:t>
      </w:r>
    </w:p>
    <w:tbl>
      <w:tblPr>
        <w:tblW w:w="7624" w:type="dxa"/>
        <w:jc w:val="center"/>
        <w:tblInd w:w="93" w:type="dxa"/>
        <w:tblLook w:val="04A0"/>
      </w:tblPr>
      <w:tblGrid>
        <w:gridCol w:w="4696"/>
        <w:gridCol w:w="1415"/>
        <w:gridCol w:w="1513"/>
      </w:tblGrid>
      <w:tr w:rsidR="00165A94" w:rsidRPr="00165A94" w:rsidTr="0008347E">
        <w:trPr>
          <w:trHeight w:val="290"/>
          <w:jc w:val="center"/>
        </w:trPr>
        <w:tc>
          <w:tcPr>
            <w:tcW w:w="46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b/>
                <w:bCs/>
                <w:lang w:bidi="hi-IN"/>
              </w:rPr>
            </w:pPr>
            <w:r w:rsidRPr="00165A94">
              <w:rPr>
                <w:rFonts w:ascii="Times New Roman" w:eastAsia="Times New Roman" w:hAnsi="Times New Roman" w:cs="Times New Roman"/>
                <w:b/>
                <w:bCs/>
                <w:lang w:bidi="hi-IN"/>
              </w:rPr>
              <w:t>Items</w:t>
            </w:r>
          </w:p>
        </w:tc>
        <w:tc>
          <w:tcPr>
            <w:tcW w:w="2928" w:type="dxa"/>
            <w:gridSpan w:val="2"/>
            <w:tcBorders>
              <w:top w:val="single" w:sz="4" w:space="0" w:color="auto"/>
              <w:left w:val="nil"/>
              <w:bottom w:val="single" w:sz="4" w:space="0" w:color="auto"/>
              <w:right w:val="single" w:sz="4" w:space="0" w:color="auto"/>
            </w:tcBorders>
            <w:shd w:val="clear" w:color="auto" w:fill="auto"/>
            <w:vAlign w:val="center"/>
            <w:hideMark/>
          </w:tcPr>
          <w:p w:rsidR="00165A94" w:rsidRPr="00165A94" w:rsidRDefault="00165A94" w:rsidP="00920C75">
            <w:pPr>
              <w:spacing w:after="0" w:line="240" w:lineRule="auto"/>
              <w:jc w:val="center"/>
              <w:rPr>
                <w:rFonts w:ascii="Times New Roman" w:eastAsia="Times New Roman" w:hAnsi="Times New Roman" w:cs="Times New Roman"/>
                <w:b/>
                <w:bCs/>
                <w:lang w:bidi="hi-IN"/>
              </w:rPr>
            </w:pPr>
            <w:r w:rsidRPr="00165A94">
              <w:rPr>
                <w:rFonts w:ascii="Times New Roman" w:eastAsia="Times New Roman" w:hAnsi="Times New Roman" w:cs="Times New Roman"/>
                <w:b/>
                <w:bCs/>
                <w:lang w:bidi="hi-IN"/>
              </w:rPr>
              <w:t>Priority Sector Advances</w:t>
            </w:r>
            <w:r w:rsidR="00920C75" w:rsidRPr="00977514">
              <w:rPr>
                <w:rFonts w:ascii="Times New Roman" w:eastAsia="Times New Roman" w:hAnsi="Times New Roman" w:cs="Times New Roman"/>
                <w:b/>
                <w:bCs/>
                <w:lang w:bidi="hi-IN"/>
              </w:rPr>
              <w:t xml:space="preserve"> (PSA)</w:t>
            </w:r>
          </w:p>
        </w:tc>
      </w:tr>
      <w:tr w:rsidR="00165A94" w:rsidRPr="00165A94" w:rsidTr="0008347E">
        <w:trPr>
          <w:trHeight w:val="493"/>
          <w:jc w:val="center"/>
        </w:trPr>
        <w:tc>
          <w:tcPr>
            <w:tcW w:w="4696" w:type="dxa"/>
            <w:vMerge/>
            <w:tcBorders>
              <w:top w:val="single" w:sz="4" w:space="0" w:color="auto"/>
              <w:left w:val="single" w:sz="4" w:space="0" w:color="auto"/>
              <w:bottom w:val="single" w:sz="4" w:space="0" w:color="auto"/>
              <w:right w:val="single" w:sz="4" w:space="0" w:color="auto"/>
            </w:tcBorders>
            <w:vAlign w:val="center"/>
            <w:hideMark/>
          </w:tcPr>
          <w:p w:rsidR="00165A94" w:rsidRPr="00165A94" w:rsidRDefault="00165A94" w:rsidP="00165A94">
            <w:pPr>
              <w:spacing w:after="0" w:line="240" w:lineRule="auto"/>
              <w:rPr>
                <w:rFonts w:ascii="Times New Roman" w:eastAsia="Times New Roman" w:hAnsi="Times New Roman" w:cs="Times New Roman"/>
                <w:b/>
                <w:bCs/>
                <w:lang w:bidi="hi-IN"/>
              </w:rPr>
            </w:pPr>
          </w:p>
        </w:tc>
        <w:tc>
          <w:tcPr>
            <w:tcW w:w="1415" w:type="dxa"/>
            <w:tcBorders>
              <w:top w:val="nil"/>
              <w:left w:val="nil"/>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b/>
                <w:bCs/>
                <w:lang w:bidi="hi-IN"/>
              </w:rPr>
            </w:pPr>
            <w:r w:rsidRPr="00165A94">
              <w:rPr>
                <w:rFonts w:ascii="Times New Roman" w:eastAsia="Times New Roman" w:hAnsi="Times New Roman" w:cs="Times New Roman"/>
                <w:b/>
                <w:bCs/>
                <w:lang w:bidi="hi-IN"/>
              </w:rPr>
              <w:t>Amount</w:t>
            </w:r>
          </w:p>
        </w:tc>
        <w:tc>
          <w:tcPr>
            <w:tcW w:w="1513" w:type="dxa"/>
            <w:tcBorders>
              <w:top w:val="nil"/>
              <w:left w:val="nil"/>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b/>
                <w:bCs/>
                <w:lang w:bidi="hi-IN"/>
              </w:rPr>
            </w:pPr>
            <w:r w:rsidRPr="00165A94">
              <w:rPr>
                <w:rFonts w:ascii="Times New Roman" w:eastAsia="Times New Roman" w:hAnsi="Times New Roman" w:cs="Times New Roman"/>
                <w:b/>
                <w:bCs/>
                <w:lang w:bidi="hi-IN"/>
              </w:rPr>
              <w:t>Percentage to Total Advances</w:t>
            </w:r>
          </w:p>
        </w:tc>
      </w:tr>
      <w:tr w:rsidR="00165A94" w:rsidRPr="00165A94" w:rsidTr="0008347E">
        <w:trPr>
          <w:trHeight w:val="348"/>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97751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1. Agriculture [(i)+(ii)+(iii)]</w:t>
            </w:r>
          </w:p>
          <w:p w:rsidR="00B1299D" w:rsidRPr="0097751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  Farm Credit</w:t>
            </w:r>
          </w:p>
          <w:p w:rsidR="00B1299D" w:rsidRPr="0097751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(ii) Agriculture Infrastructure</w:t>
            </w:r>
          </w:p>
          <w:p w:rsidR="00B1299D" w:rsidRPr="00165A9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(iii) Ancillary Activities</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97751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13,212.81 </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9,840.81</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914.81</w:t>
            </w:r>
          </w:p>
          <w:p w:rsidR="00B1299D" w:rsidRPr="00165A9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2,457.18</w:t>
            </w:r>
          </w:p>
        </w:tc>
        <w:tc>
          <w:tcPr>
            <w:tcW w:w="1513" w:type="dxa"/>
            <w:tcBorders>
              <w:top w:val="nil"/>
              <w:left w:val="nil"/>
              <w:bottom w:val="single" w:sz="4" w:space="0" w:color="auto"/>
              <w:right w:val="single" w:sz="4" w:space="0" w:color="auto"/>
            </w:tcBorders>
            <w:shd w:val="clear" w:color="auto" w:fill="auto"/>
            <w:noWrap/>
            <w:vAlign w:val="center"/>
            <w:hideMark/>
          </w:tcPr>
          <w:p w:rsidR="00B1299D" w:rsidRPr="00977514" w:rsidRDefault="00B1299D" w:rsidP="00165A94">
            <w:pPr>
              <w:spacing w:after="0" w:line="240" w:lineRule="auto"/>
              <w:rPr>
                <w:rFonts w:ascii="Times New Roman" w:eastAsia="Times New Roman" w:hAnsi="Times New Roman" w:cs="Times New Roman"/>
                <w:color w:val="000000"/>
                <w:lang w:bidi="hi-IN"/>
              </w:rPr>
            </w:pPr>
          </w:p>
          <w:p w:rsidR="00165A94" w:rsidRPr="0097751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4.20</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3.13</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0.29</w:t>
            </w:r>
          </w:p>
          <w:p w:rsidR="00B1299D" w:rsidRPr="00165A9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0.78</w:t>
            </w:r>
          </w:p>
        </w:tc>
      </w:tr>
      <w:tr w:rsidR="00165A94" w:rsidRPr="00165A94" w:rsidTr="0008347E">
        <w:trPr>
          <w:trHeight w:val="319"/>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97751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2. Micro and Small Enterprises  [(i) + (ii) +(iii) + (iv)]</w:t>
            </w:r>
          </w:p>
          <w:p w:rsidR="00B1299D" w:rsidRPr="0097751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 Micro Enterprises</w:t>
            </w:r>
          </w:p>
          <w:p w:rsidR="00B1299D" w:rsidRPr="0097751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(ii) Small Enterprises</w:t>
            </w:r>
          </w:p>
          <w:p w:rsidR="00B1299D" w:rsidRPr="0097751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(iii) Medium Enterprises</w:t>
            </w:r>
          </w:p>
          <w:p w:rsidR="00B1299D" w:rsidRPr="00165A94" w:rsidRDefault="00B1299D"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(iv) Advances to KVI (Including 'Other Finance to MSMEs')</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97751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107,846.56</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37,680.76</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46,732.59</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22,894.14</w:t>
            </w:r>
          </w:p>
          <w:p w:rsidR="00B1299D" w:rsidRPr="00165A9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539.07</w:t>
            </w:r>
          </w:p>
        </w:tc>
        <w:tc>
          <w:tcPr>
            <w:tcW w:w="1513" w:type="dxa"/>
            <w:tcBorders>
              <w:top w:val="nil"/>
              <w:left w:val="nil"/>
              <w:bottom w:val="single" w:sz="4" w:space="0" w:color="auto"/>
              <w:right w:val="single" w:sz="4" w:space="0" w:color="auto"/>
            </w:tcBorders>
            <w:shd w:val="clear" w:color="auto" w:fill="auto"/>
            <w:noWrap/>
            <w:vAlign w:val="center"/>
            <w:hideMark/>
          </w:tcPr>
          <w:p w:rsidR="00B1299D" w:rsidRPr="00977514" w:rsidRDefault="00B1299D" w:rsidP="00165A94">
            <w:pPr>
              <w:spacing w:after="0" w:line="240" w:lineRule="auto"/>
              <w:rPr>
                <w:rFonts w:ascii="Times New Roman" w:eastAsia="Times New Roman" w:hAnsi="Times New Roman" w:cs="Times New Roman"/>
                <w:color w:val="000000"/>
                <w:lang w:bidi="hi-IN"/>
              </w:rPr>
            </w:pPr>
          </w:p>
          <w:p w:rsidR="00165A94" w:rsidRPr="0097751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34.27</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11.97</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14.85</w:t>
            </w:r>
          </w:p>
          <w:p w:rsidR="00B1299D" w:rsidRPr="0097751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7.27</w:t>
            </w:r>
          </w:p>
          <w:p w:rsidR="00B1299D" w:rsidRPr="00165A94" w:rsidRDefault="00B1299D"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0.17</w:t>
            </w:r>
          </w:p>
        </w:tc>
      </w:tr>
      <w:tr w:rsidR="00165A94" w:rsidRPr="00165A94" w:rsidTr="0008347E">
        <w:trPr>
          <w:trHeight w:val="408"/>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3. Export Credit</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284.28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0.09</w:t>
            </w:r>
          </w:p>
        </w:tc>
      </w:tr>
      <w:tr w:rsidR="00165A94" w:rsidRPr="00165A94" w:rsidTr="0008347E">
        <w:trPr>
          <w:trHeight w:val="399"/>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4. Education</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2,628.77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0.84</w:t>
            </w:r>
          </w:p>
        </w:tc>
      </w:tr>
      <w:tr w:rsidR="00165A94" w:rsidRPr="00165A94" w:rsidTr="0008347E">
        <w:trPr>
          <w:trHeight w:val="275"/>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5. Housing</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26,803.37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8.52</w:t>
            </w:r>
          </w:p>
        </w:tc>
      </w:tr>
      <w:tr w:rsidR="00165A94" w:rsidRPr="00165A94" w:rsidTr="0008347E">
        <w:trPr>
          <w:trHeight w:val="275"/>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6. Social Infrastructure</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1,113.76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0.35</w:t>
            </w:r>
          </w:p>
        </w:tc>
      </w:tr>
      <w:tr w:rsidR="00165A94" w:rsidRPr="00165A94" w:rsidTr="0008347E">
        <w:trPr>
          <w:trHeight w:val="290"/>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lastRenderedPageBreak/>
              <w:t>7. Renewable Energy</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1,380.04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0.44</w:t>
            </w:r>
          </w:p>
        </w:tc>
      </w:tr>
      <w:tr w:rsidR="00165A94" w:rsidRPr="00165A94" w:rsidTr="0008347E">
        <w:trPr>
          <w:trHeight w:val="246"/>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8. 'Others' category under Priority Sector</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20,012.42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6.36</w:t>
            </w:r>
          </w:p>
        </w:tc>
      </w:tr>
      <w:tr w:rsidR="00165A94" w:rsidRPr="00165A94" w:rsidTr="0008347E">
        <w:trPr>
          <w:trHeight w:val="333"/>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b/>
                <w:bCs/>
                <w:lang w:bidi="hi-IN"/>
              </w:rPr>
            </w:pPr>
            <w:r w:rsidRPr="00165A94">
              <w:rPr>
                <w:rFonts w:ascii="Times New Roman" w:eastAsia="Times New Roman" w:hAnsi="Times New Roman" w:cs="Times New Roman"/>
                <w:b/>
                <w:bCs/>
                <w:lang w:bidi="hi-IN"/>
              </w:rPr>
              <w:t>9. Total (1 to 8)</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b/>
                <w:bCs/>
                <w:color w:val="000000"/>
                <w:lang w:bidi="hi-IN"/>
              </w:rPr>
            </w:pPr>
            <w:r w:rsidRPr="00165A94">
              <w:rPr>
                <w:rFonts w:ascii="Times New Roman" w:eastAsia="Times New Roman" w:hAnsi="Times New Roman" w:cs="Times New Roman"/>
                <w:b/>
                <w:bCs/>
                <w:color w:val="000000"/>
                <w:lang w:bidi="hi-IN"/>
              </w:rPr>
              <w:t xml:space="preserve">        173,282.00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b/>
                <w:bCs/>
                <w:color w:val="000000"/>
                <w:lang w:bidi="hi-IN"/>
              </w:rPr>
            </w:pPr>
            <w:r w:rsidRPr="00165A94">
              <w:rPr>
                <w:rFonts w:ascii="Times New Roman" w:eastAsia="Times New Roman" w:hAnsi="Times New Roman" w:cs="Times New Roman"/>
                <w:b/>
                <w:bCs/>
                <w:color w:val="000000"/>
                <w:lang w:bidi="hi-IN"/>
              </w:rPr>
              <w:t>55.06</w:t>
            </w:r>
          </w:p>
        </w:tc>
      </w:tr>
      <w:tr w:rsidR="00165A94" w:rsidRPr="00165A94" w:rsidTr="0008347E">
        <w:trPr>
          <w:trHeight w:val="478"/>
          <w:jc w:val="center"/>
        </w:trPr>
        <w:tc>
          <w:tcPr>
            <w:tcW w:w="4696" w:type="dxa"/>
            <w:tcBorders>
              <w:top w:val="nil"/>
              <w:left w:val="single" w:sz="4" w:space="0" w:color="auto"/>
              <w:bottom w:val="single" w:sz="4" w:space="0" w:color="auto"/>
              <w:right w:val="single" w:sz="4" w:space="0" w:color="auto"/>
            </w:tcBorders>
            <w:shd w:val="clear" w:color="auto" w:fill="auto"/>
            <w:vAlign w:val="center"/>
            <w:hideMark/>
          </w:tcPr>
          <w:p w:rsidR="00165A94" w:rsidRPr="00165A94" w:rsidRDefault="00165A94" w:rsidP="00165A94">
            <w:pPr>
              <w:spacing w:after="0" w:line="240" w:lineRule="auto"/>
              <w:rPr>
                <w:rFonts w:ascii="Times New Roman" w:eastAsia="Times New Roman" w:hAnsi="Times New Roman" w:cs="Times New Roman"/>
                <w:lang w:bidi="hi-IN"/>
              </w:rPr>
            </w:pPr>
            <w:r w:rsidRPr="00165A94">
              <w:rPr>
                <w:rFonts w:ascii="Times New Roman" w:eastAsia="Times New Roman" w:hAnsi="Times New Roman" w:cs="Times New Roman"/>
                <w:lang w:bidi="hi-IN"/>
              </w:rPr>
              <w:t xml:space="preserve">    of which, Loans to Weaker Sections under Priority Sector</w:t>
            </w:r>
          </w:p>
        </w:tc>
        <w:tc>
          <w:tcPr>
            <w:tcW w:w="1415"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 xml:space="preserve">           34,843.67 </w:t>
            </w:r>
          </w:p>
        </w:tc>
        <w:tc>
          <w:tcPr>
            <w:tcW w:w="1513" w:type="dxa"/>
            <w:tcBorders>
              <w:top w:val="nil"/>
              <w:left w:val="nil"/>
              <w:bottom w:val="single" w:sz="4" w:space="0" w:color="auto"/>
              <w:right w:val="single" w:sz="4" w:space="0" w:color="auto"/>
            </w:tcBorders>
            <w:shd w:val="clear" w:color="auto" w:fill="auto"/>
            <w:noWrap/>
            <w:vAlign w:val="center"/>
            <w:hideMark/>
          </w:tcPr>
          <w:p w:rsidR="00165A94" w:rsidRPr="00165A94" w:rsidRDefault="00165A94" w:rsidP="00165A94">
            <w:pPr>
              <w:spacing w:after="0" w:line="240" w:lineRule="auto"/>
              <w:rPr>
                <w:rFonts w:ascii="Times New Roman" w:eastAsia="Times New Roman" w:hAnsi="Times New Roman" w:cs="Times New Roman"/>
                <w:color w:val="000000"/>
                <w:lang w:bidi="hi-IN"/>
              </w:rPr>
            </w:pPr>
            <w:r w:rsidRPr="00165A94">
              <w:rPr>
                <w:rFonts w:ascii="Times New Roman" w:eastAsia="Times New Roman" w:hAnsi="Times New Roman" w:cs="Times New Roman"/>
                <w:color w:val="000000"/>
                <w:lang w:bidi="hi-IN"/>
              </w:rPr>
              <w:t>11.07</w:t>
            </w:r>
          </w:p>
        </w:tc>
      </w:tr>
    </w:tbl>
    <w:p w:rsidR="002C75A1" w:rsidRDefault="002C75A1" w:rsidP="002C75A1">
      <w:pPr>
        <w:tabs>
          <w:tab w:val="left" w:pos="3390"/>
        </w:tabs>
        <w:rPr>
          <w:rFonts w:ascii="Times New Roman" w:hAnsi="Times New Roman" w:cs="Times New Roman"/>
          <w:sz w:val="20"/>
          <w:szCs w:val="20"/>
        </w:rPr>
      </w:pPr>
      <w:r w:rsidRPr="009C0AB0">
        <w:rPr>
          <w:rFonts w:ascii="Times New Roman" w:hAnsi="Times New Roman" w:cs="Times New Roman"/>
          <w:sz w:val="20"/>
          <w:szCs w:val="20"/>
        </w:rPr>
        <w:t>Source: RBI’s Database</w:t>
      </w:r>
    </w:p>
    <w:p w:rsidR="002C75A1" w:rsidRDefault="002C75A1" w:rsidP="00730A77">
      <w:pPr>
        <w:tabs>
          <w:tab w:val="left" w:pos="3390"/>
        </w:tabs>
        <w:rPr>
          <w:rFonts w:ascii="Times New Roman" w:hAnsi="Times New Roman" w:cs="Times New Roman"/>
          <w:sz w:val="20"/>
          <w:szCs w:val="20"/>
        </w:rPr>
      </w:pPr>
    </w:p>
    <w:p w:rsidR="00963842" w:rsidRPr="00963842" w:rsidRDefault="002A004D" w:rsidP="00963842">
      <w:pPr>
        <w:tabs>
          <w:tab w:val="left" w:pos="3390"/>
        </w:tabs>
        <w:spacing w:line="360" w:lineRule="auto"/>
        <w:jc w:val="both"/>
        <w:rPr>
          <w:rFonts w:ascii="Times New Roman" w:hAnsi="Times New Roman" w:cs="Times New Roman"/>
          <w:sz w:val="24"/>
          <w:szCs w:val="24"/>
        </w:rPr>
      </w:pPr>
      <w:r w:rsidRPr="002A004D">
        <w:rPr>
          <w:rFonts w:ascii="Times New Roman" w:hAnsi="Times New Roman" w:cs="Times New Roman"/>
          <w:sz w:val="24"/>
          <w:szCs w:val="24"/>
        </w:rPr>
        <w:t>Similarly, under the priority sector, a total of 34.27 percent financial facility was made available by the Urban Cooperative Bank for Micro, Small and Medium Enterprises (MSME), under which 11.97 percent for micro industry, 14.85 percent for small scale industry and 7.27 percent for medium industries financial facility was provided. While a loan facility of 0.17 percent was provided for other additional businesses in the MSME sector.</w:t>
      </w:r>
      <w:r w:rsidR="00B73B5F">
        <w:rPr>
          <w:rFonts w:ascii="Times New Roman" w:hAnsi="Times New Roman" w:cs="Times New Roman"/>
          <w:sz w:val="24"/>
          <w:szCs w:val="24"/>
        </w:rPr>
        <w:t xml:space="preserve"> </w:t>
      </w:r>
      <w:r w:rsidR="00963842" w:rsidRPr="00963842">
        <w:rPr>
          <w:rFonts w:ascii="Times New Roman" w:hAnsi="Times New Roman" w:cs="Times New Roman"/>
          <w:sz w:val="24"/>
          <w:szCs w:val="24"/>
        </w:rPr>
        <w:t>Similarly, Urban Co-operative Bank has given only 0.09 percent for export credit, 0.84 percent for education, 8.52 percent for urban housing, 0.35 percent for social infrastructure, 0.44 percent for renewable energy and while other priority sector Credit facility of 6.36 percent has been made available.</w:t>
      </w:r>
    </w:p>
    <w:p w:rsidR="00963842" w:rsidRPr="002A004D" w:rsidRDefault="00963842" w:rsidP="00963842">
      <w:pPr>
        <w:tabs>
          <w:tab w:val="left" w:pos="3390"/>
        </w:tabs>
        <w:spacing w:line="360" w:lineRule="auto"/>
        <w:jc w:val="both"/>
        <w:rPr>
          <w:rFonts w:ascii="Times New Roman" w:hAnsi="Times New Roman" w:cs="Times New Roman"/>
          <w:sz w:val="24"/>
          <w:szCs w:val="24"/>
        </w:rPr>
      </w:pPr>
      <w:r w:rsidRPr="00963842">
        <w:rPr>
          <w:rFonts w:ascii="Times New Roman" w:hAnsi="Times New Roman" w:cs="Times New Roman"/>
          <w:sz w:val="24"/>
          <w:szCs w:val="24"/>
        </w:rPr>
        <w:t>In this way, 11.07 percent of the total financial facility provided by the Urban Cooperative Bank for the priority sector was provided to the weaker section of the urban area, although this financial facility provided to the weaker section is commendable, but then economic, It is insufficient for social and inclusive development, which needs to be provided with financial facilities at a faster pace.</w:t>
      </w:r>
      <w:r w:rsidR="00B73B5F">
        <w:rPr>
          <w:rFonts w:ascii="Times New Roman" w:hAnsi="Times New Roman" w:cs="Times New Roman"/>
          <w:sz w:val="24"/>
          <w:szCs w:val="24"/>
        </w:rPr>
        <w:t xml:space="preserve"> </w:t>
      </w:r>
      <w:r w:rsidRPr="00963842">
        <w:rPr>
          <w:rFonts w:ascii="Times New Roman" w:hAnsi="Times New Roman" w:cs="Times New Roman"/>
          <w:sz w:val="24"/>
          <w:szCs w:val="24"/>
        </w:rPr>
        <w:t>Similarly, Urban Cooperative Bank is spending very little on renewable energy, there is an urgent need to spend more on this sector to increase sustainable development in the coming times, it is very important to increase the total exports from the urban sector as much as possible. Because it is the sector with the highe</w:t>
      </w:r>
      <w:r w:rsidR="00793511">
        <w:rPr>
          <w:rFonts w:ascii="Times New Roman" w:hAnsi="Times New Roman" w:cs="Times New Roman"/>
          <w:sz w:val="24"/>
          <w:szCs w:val="24"/>
        </w:rPr>
        <w:t>st employment coefficient but UC</w:t>
      </w:r>
      <w:r w:rsidRPr="00963842">
        <w:rPr>
          <w:rFonts w:ascii="Times New Roman" w:hAnsi="Times New Roman" w:cs="Times New Roman"/>
          <w:sz w:val="24"/>
          <w:szCs w:val="24"/>
        </w:rPr>
        <w:t>B</w:t>
      </w:r>
      <w:r w:rsidR="00793511">
        <w:rPr>
          <w:rFonts w:ascii="Times New Roman" w:hAnsi="Times New Roman" w:cs="Times New Roman"/>
          <w:sz w:val="24"/>
          <w:szCs w:val="24"/>
        </w:rPr>
        <w:t>s</w:t>
      </w:r>
      <w:r w:rsidRPr="00963842">
        <w:rPr>
          <w:rFonts w:ascii="Times New Roman" w:hAnsi="Times New Roman" w:cs="Times New Roman"/>
          <w:sz w:val="24"/>
          <w:szCs w:val="24"/>
        </w:rPr>
        <w:t xml:space="preserve"> has been successful in providing very little financial facility for it.</w:t>
      </w:r>
      <w:r>
        <w:rPr>
          <w:rFonts w:ascii="Times New Roman" w:hAnsi="Times New Roman" w:cs="Times New Roman"/>
          <w:sz w:val="24"/>
          <w:szCs w:val="24"/>
        </w:rPr>
        <w:t xml:space="preserve"> </w:t>
      </w:r>
    </w:p>
    <w:p w:rsidR="002E1E89" w:rsidRDefault="002E1E89" w:rsidP="00471366">
      <w:pPr>
        <w:spacing w:after="0" w:line="240" w:lineRule="auto"/>
        <w:jc w:val="center"/>
        <w:rPr>
          <w:rFonts w:ascii="Times New Roman" w:eastAsia="Times New Roman" w:hAnsi="Times New Roman" w:cs="Times New Roman"/>
          <w:b/>
          <w:bCs/>
          <w:sz w:val="24"/>
          <w:szCs w:val="24"/>
          <w:lang w:bidi="hi-IN"/>
        </w:rPr>
      </w:pPr>
    </w:p>
    <w:p w:rsidR="002E1E89" w:rsidRDefault="002E1E89" w:rsidP="00471366">
      <w:pPr>
        <w:spacing w:after="0" w:line="240" w:lineRule="auto"/>
        <w:jc w:val="center"/>
        <w:rPr>
          <w:rFonts w:ascii="Times New Roman" w:eastAsia="Times New Roman" w:hAnsi="Times New Roman" w:cs="Times New Roman"/>
          <w:b/>
          <w:bCs/>
          <w:sz w:val="24"/>
          <w:szCs w:val="24"/>
          <w:lang w:bidi="hi-IN"/>
        </w:rPr>
      </w:pPr>
    </w:p>
    <w:p w:rsidR="002E1E89" w:rsidRDefault="002E1E89" w:rsidP="00471366">
      <w:pPr>
        <w:spacing w:after="0" w:line="240" w:lineRule="auto"/>
        <w:jc w:val="center"/>
        <w:rPr>
          <w:rFonts w:ascii="Times New Roman" w:eastAsia="Times New Roman" w:hAnsi="Times New Roman" w:cs="Times New Roman"/>
          <w:b/>
          <w:bCs/>
          <w:sz w:val="24"/>
          <w:szCs w:val="24"/>
          <w:lang w:bidi="hi-IN"/>
        </w:rPr>
      </w:pPr>
    </w:p>
    <w:p w:rsidR="002E1E89" w:rsidRDefault="002E1E89" w:rsidP="00471366">
      <w:pPr>
        <w:spacing w:after="0" w:line="240" w:lineRule="auto"/>
        <w:jc w:val="center"/>
        <w:rPr>
          <w:rFonts w:ascii="Times New Roman" w:eastAsia="Times New Roman" w:hAnsi="Times New Roman" w:cs="Times New Roman"/>
          <w:b/>
          <w:bCs/>
          <w:sz w:val="24"/>
          <w:szCs w:val="24"/>
          <w:lang w:bidi="hi-IN"/>
        </w:rPr>
      </w:pPr>
    </w:p>
    <w:p w:rsidR="002E1E89" w:rsidRDefault="002E1E89" w:rsidP="00471366">
      <w:pPr>
        <w:spacing w:after="0" w:line="240" w:lineRule="auto"/>
        <w:jc w:val="center"/>
        <w:rPr>
          <w:rFonts w:ascii="Times New Roman" w:eastAsia="Times New Roman" w:hAnsi="Times New Roman" w:cs="Times New Roman"/>
          <w:b/>
          <w:bCs/>
          <w:sz w:val="24"/>
          <w:szCs w:val="24"/>
          <w:lang w:bidi="hi-IN"/>
        </w:rPr>
      </w:pPr>
    </w:p>
    <w:p w:rsidR="00875D54" w:rsidRDefault="00875D54" w:rsidP="00471366">
      <w:pPr>
        <w:spacing w:after="0" w:line="240" w:lineRule="auto"/>
        <w:jc w:val="center"/>
        <w:rPr>
          <w:rFonts w:ascii="Times New Roman" w:eastAsia="Times New Roman" w:hAnsi="Times New Roman" w:cs="Times New Roman"/>
          <w:b/>
          <w:bCs/>
          <w:sz w:val="24"/>
          <w:szCs w:val="24"/>
          <w:lang w:bidi="hi-IN"/>
        </w:rPr>
      </w:pPr>
    </w:p>
    <w:p w:rsidR="00875D54" w:rsidRDefault="00875D54" w:rsidP="00471366">
      <w:pPr>
        <w:spacing w:after="0" w:line="240" w:lineRule="auto"/>
        <w:jc w:val="center"/>
        <w:rPr>
          <w:rFonts w:ascii="Times New Roman" w:eastAsia="Times New Roman" w:hAnsi="Times New Roman" w:cs="Times New Roman"/>
          <w:b/>
          <w:bCs/>
          <w:sz w:val="24"/>
          <w:szCs w:val="24"/>
          <w:lang w:bidi="hi-IN"/>
        </w:rPr>
      </w:pPr>
    </w:p>
    <w:p w:rsidR="00875D54" w:rsidRDefault="00875D54" w:rsidP="00471366">
      <w:pPr>
        <w:spacing w:after="0" w:line="240" w:lineRule="auto"/>
        <w:jc w:val="center"/>
        <w:rPr>
          <w:rFonts w:ascii="Times New Roman" w:eastAsia="Times New Roman" w:hAnsi="Times New Roman" w:cs="Times New Roman"/>
          <w:b/>
          <w:bCs/>
          <w:sz w:val="24"/>
          <w:szCs w:val="24"/>
          <w:lang w:bidi="hi-IN"/>
        </w:rPr>
      </w:pPr>
    </w:p>
    <w:p w:rsidR="00875D54" w:rsidRDefault="00875D54" w:rsidP="00471366">
      <w:pPr>
        <w:spacing w:after="0" w:line="240" w:lineRule="auto"/>
        <w:jc w:val="center"/>
        <w:rPr>
          <w:rFonts w:ascii="Times New Roman" w:eastAsia="Times New Roman" w:hAnsi="Times New Roman" w:cs="Times New Roman"/>
          <w:b/>
          <w:bCs/>
          <w:sz w:val="24"/>
          <w:szCs w:val="24"/>
          <w:lang w:bidi="hi-IN"/>
        </w:rPr>
      </w:pPr>
    </w:p>
    <w:p w:rsidR="00471366" w:rsidRDefault="00471366" w:rsidP="00471366">
      <w:pPr>
        <w:spacing w:after="0" w:line="240" w:lineRule="auto"/>
        <w:jc w:val="center"/>
        <w:rPr>
          <w:rFonts w:ascii="Times New Roman" w:eastAsia="Times New Roman" w:hAnsi="Times New Roman" w:cs="Times New Roman"/>
          <w:b/>
          <w:bCs/>
          <w:sz w:val="24"/>
          <w:szCs w:val="24"/>
          <w:lang w:bidi="hi-IN"/>
        </w:rPr>
      </w:pPr>
      <w:r>
        <w:rPr>
          <w:rFonts w:ascii="Times New Roman" w:eastAsia="Times New Roman" w:hAnsi="Times New Roman" w:cs="Times New Roman"/>
          <w:b/>
          <w:bCs/>
          <w:sz w:val="24"/>
          <w:szCs w:val="24"/>
          <w:lang w:bidi="hi-IN"/>
        </w:rPr>
        <w:lastRenderedPageBreak/>
        <w:t>Figure</w:t>
      </w:r>
      <w:r w:rsidR="00D41E3D">
        <w:rPr>
          <w:rFonts w:ascii="Times New Roman" w:eastAsia="Times New Roman" w:hAnsi="Times New Roman" w:cs="Times New Roman"/>
          <w:b/>
          <w:bCs/>
          <w:sz w:val="24"/>
          <w:szCs w:val="24"/>
          <w:lang w:bidi="hi-IN"/>
        </w:rPr>
        <w:t>: 3</w:t>
      </w:r>
    </w:p>
    <w:p w:rsidR="00471366" w:rsidRPr="002C75A1" w:rsidRDefault="00471366" w:rsidP="00471366">
      <w:pPr>
        <w:spacing w:after="0" w:line="240" w:lineRule="auto"/>
        <w:jc w:val="center"/>
        <w:rPr>
          <w:rFonts w:ascii="Times New Roman" w:eastAsia="Times New Roman" w:hAnsi="Times New Roman" w:cs="Times New Roman"/>
          <w:b/>
          <w:bCs/>
          <w:sz w:val="24"/>
          <w:szCs w:val="24"/>
          <w:lang w:bidi="hi-IN"/>
        </w:rPr>
      </w:pPr>
      <w:r w:rsidRPr="002C75A1">
        <w:rPr>
          <w:rFonts w:ascii="Times New Roman" w:eastAsia="Times New Roman" w:hAnsi="Times New Roman" w:cs="Times New Roman"/>
          <w:b/>
          <w:bCs/>
          <w:sz w:val="24"/>
          <w:szCs w:val="24"/>
          <w:lang w:bidi="hi-IN"/>
        </w:rPr>
        <w:t xml:space="preserve">Top </w:t>
      </w:r>
      <w:r>
        <w:rPr>
          <w:rFonts w:ascii="Times New Roman" w:eastAsia="Times New Roman" w:hAnsi="Times New Roman" w:cs="Times New Roman"/>
          <w:b/>
          <w:bCs/>
          <w:sz w:val="24"/>
          <w:szCs w:val="24"/>
          <w:lang w:bidi="hi-IN"/>
        </w:rPr>
        <w:t xml:space="preserve">5 </w:t>
      </w:r>
      <w:r w:rsidRPr="002C75A1">
        <w:rPr>
          <w:rFonts w:ascii="Times New Roman" w:eastAsia="Times New Roman" w:hAnsi="Times New Roman" w:cs="Times New Roman"/>
          <w:b/>
          <w:bCs/>
          <w:sz w:val="24"/>
          <w:szCs w:val="24"/>
          <w:lang w:bidi="hi-IN"/>
        </w:rPr>
        <w:t>Priority Section to Advances of Urban Co-operative Banks in India</w:t>
      </w:r>
    </w:p>
    <w:p w:rsidR="002C75A1" w:rsidRDefault="002C75A1" w:rsidP="00730A77">
      <w:pPr>
        <w:tabs>
          <w:tab w:val="left" w:pos="3390"/>
        </w:tabs>
        <w:rPr>
          <w:rFonts w:ascii="Times New Roman" w:hAnsi="Times New Roman" w:cs="Times New Roman"/>
          <w:sz w:val="20"/>
          <w:szCs w:val="20"/>
        </w:rPr>
      </w:pPr>
    </w:p>
    <w:p w:rsidR="002C75A1" w:rsidRDefault="002C75A1" w:rsidP="002C75A1">
      <w:pPr>
        <w:tabs>
          <w:tab w:val="left" w:pos="3390"/>
        </w:tabs>
        <w:jc w:val="center"/>
        <w:rPr>
          <w:rFonts w:ascii="Times New Roman" w:hAnsi="Times New Roman" w:cs="Times New Roman"/>
          <w:sz w:val="20"/>
          <w:szCs w:val="20"/>
        </w:rPr>
      </w:pPr>
      <w:r w:rsidRPr="002C75A1">
        <w:rPr>
          <w:rFonts w:ascii="Times New Roman" w:hAnsi="Times New Roman" w:cs="Times New Roman"/>
          <w:noProof/>
          <w:sz w:val="20"/>
          <w:szCs w:val="20"/>
          <w:lang w:bidi="hi-IN"/>
        </w:rPr>
        <w:drawing>
          <wp:inline distT="0" distB="0" distL="0" distR="0">
            <wp:extent cx="4457700" cy="2505075"/>
            <wp:effectExtent l="19050" t="0" r="1905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14054" w:rsidRDefault="00614054" w:rsidP="00614054">
      <w:pPr>
        <w:tabs>
          <w:tab w:val="left" w:pos="3390"/>
        </w:tabs>
        <w:jc w:val="both"/>
        <w:rPr>
          <w:rFonts w:ascii="Times New Roman" w:hAnsi="Times New Roman" w:cs="Times New Roman"/>
          <w:sz w:val="20"/>
          <w:szCs w:val="20"/>
        </w:rPr>
      </w:pPr>
      <w:r>
        <w:rPr>
          <w:rFonts w:ascii="Times New Roman" w:hAnsi="Times New Roman" w:cs="Times New Roman"/>
          <w:sz w:val="20"/>
          <w:szCs w:val="20"/>
        </w:rPr>
        <w:t>Source: RBIs database</w:t>
      </w:r>
    </w:p>
    <w:p w:rsidR="00614054" w:rsidRPr="002A004D" w:rsidRDefault="00614054" w:rsidP="00614054">
      <w:pPr>
        <w:tabs>
          <w:tab w:val="left" w:pos="3390"/>
        </w:tabs>
        <w:spacing w:line="360" w:lineRule="auto"/>
        <w:jc w:val="both"/>
        <w:rPr>
          <w:rFonts w:ascii="Times New Roman" w:hAnsi="Times New Roman" w:cs="Times New Roman"/>
          <w:sz w:val="24"/>
          <w:szCs w:val="24"/>
        </w:rPr>
      </w:pPr>
      <w:r w:rsidRPr="00614054">
        <w:rPr>
          <w:rFonts w:ascii="Times New Roman" w:hAnsi="Times New Roman" w:cs="Times New Roman"/>
          <w:sz w:val="24"/>
          <w:szCs w:val="24"/>
        </w:rPr>
        <w:t xml:space="preserve">The </w:t>
      </w:r>
      <w:r w:rsidR="008855CB" w:rsidRPr="00614054">
        <w:rPr>
          <w:rFonts w:ascii="Times New Roman" w:hAnsi="Times New Roman" w:cs="Times New Roman"/>
          <w:sz w:val="24"/>
          <w:szCs w:val="24"/>
        </w:rPr>
        <w:t xml:space="preserve">Urban </w:t>
      </w:r>
      <w:r w:rsidRPr="00614054">
        <w:rPr>
          <w:rFonts w:ascii="Times New Roman" w:hAnsi="Times New Roman" w:cs="Times New Roman"/>
          <w:sz w:val="24"/>
          <w:szCs w:val="24"/>
        </w:rPr>
        <w:t>cooperative bank provides 34.27 percent of the total financial facility to the MSME sector. It has the largest share in the total financial facility.</w:t>
      </w:r>
      <w:r>
        <w:rPr>
          <w:rFonts w:ascii="Times New Roman" w:hAnsi="Times New Roman" w:cs="Times New Roman"/>
          <w:sz w:val="24"/>
          <w:szCs w:val="24"/>
        </w:rPr>
        <w:t xml:space="preserve"> </w:t>
      </w:r>
      <w:r w:rsidRPr="00614054">
        <w:rPr>
          <w:rFonts w:ascii="Times New Roman" w:hAnsi="Times New Roman" w:cs="Times New Roman"/>
          <w:sz w:val="24"/>
          <w:szCs w:val="24"/>
        </w:rPr>
        <w:t xml:space="preserve">After this, Housing has </w:t>
      </w:r>
      <w:r>
        <w:rPr>
          <w:rFonts w:ascii="Times New Roman" w:hAnsi="Times New Roman" w:cs="Times New Roman"/>
          <w:sz w:val="24"/>
          <w:szCs w:val="24"/>
        </w:rPr>
        <w:t>8</w:t>
      </w:r>
      <w:r w:rsidRPr="00614054">
        <w:rPr>
          <w:rFonts w:ascii="Times New Roman" w:hAnsi="Times New Roman" w:cs="Times New Roman"/>
          <w:sz w:val="24"/>
          <w:szCs w:val="24"/>
        </w:rPr>
        <w:t>.52%, Agriculture has 4.20% and Education has 0.4%.</w:t>
      </w:r>
      <w:r>
        <w:rPr>
          <w:rFonts w:ascii="Times New Roman" w:hAnsi="Times New Roman" w:cs="Times New Roman"/>
          <w:sz w:val="24"/>
          <w:szCs w:val="24"/>
        </w:rPr>
        <w:t xml:space="preserve"> </w:t>
      </w:r>
      <w:r w:rsidRPr="00963842">
        <w:rPr>
          <w:rFonts w:ascii="Times New Roman" w:hAnsi="Times New Roman" w:cs="Times New Roman"/>
          <w:sz w:val="24"/>
          <w:szCs w:val="24"/>
        </w:rPr>
        <w:t>On which there is a need to focus more, because almost half of the country's MSMEs are found in urban areas, which account for about one-third of the country's total exports, by providing this type of financial facility from urban cooperative banks, urban areas It will be easier to promote exports.</w:t>
      </w:r>
    </w:p>
    <w:p w:rsidR="00614054" w:rsidRDefault="00B27B0B" w:rsidP="00844C64">
      <w:pPr>
        <w:pStyle w:val="ListParagraph"/>
        <w:numPr>
          <w:ilvl w:val="0"/>
          <w:numId w:val="5"/>
        </w:numPr>
        <w:tabs>
          <w:tab w:val="left" w:pos="3390"/>
        </w:tabs>
        <w:ind w:left="360"/>
        <w:jc w:val="both"/>
        <w:rPr>
          <w:rFonts w:ascii="Times New Roman" w:hAnsi="Times New Roman" w:cs="Times New Roman"/>
          <w:b/>
          <w:bCs/>
          <w:sz w:val="28"/>
          <w:szCs w:val="28"/>
        </w:rPr>
      </w:pPr>
      <w:r>
        <w:rPr>
          <w:rFonts w:ascii="Times New Roman" w:hAnsi="Times New Roman" w:cs="Times New Roman"/>
          <w:b/>
          <w:bCs/>
          <w:sz w:val="28"/>
          <w:szCs w:val="28"/>
        </w:rPr>
        <w:t>Findings</w:t>
      </w:r>
    </w:p>
    <w:p w:rsidR="00E76FED" w:rsidRDefault="005A660A"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5A660A">
        <w:rPr>
          <w:rFonts w:ascii="Times New Roman" w:hAnsi="Times New Roman" w:cs="Times New Roman"/>
          <w:sz w:val="24"/>
          <w:szCs w:val="24"/>
        </w:rPr>
        <w:t xml:space="preserve">According to the geographical distribution of UCBs in India, </w:t>
      </w:r>
      <w:r w:rsidR="00E76FED" w:rsidRPr="005A660A">
        <w:rPr>
          <w:rFonts w:ascii="Times New Roman" w:hAnsi="Times New Roman" w:cs="Times New Roman"/>
          <w:sz w:val="24"/>
          <w:szCs w:val="24"/>
        </w:rPr>
        <w:t xml:space="preserve">Presently the total numbers of Urban Cooperative Banks are 1514 in India. </w:t>
      </w:r>
      <w:r w:rsidRPr="005A660A">
        <w:rPr>
          <w:rFonts w:ascii="Times New Roman" w:hAnsi="Times New Roman" w:cs="Times New Roman"/>
          <w:sz w:val="24"/>
          <w:szCs w:val="24"/>
        </w:rPr>
        <w:t>The western region has the highest number of UCBs in India with 700 states including the states of Maharashtra, Gujarat and Goa.</w:t>
      </w:r>
    </w:p>
    <w:p w:rsidR="005A660A" w:rsidRDefault="005A660A"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5A660A">
        <w:rPr>
          <w:rFonts w:ascii="Times New Roman" w:hAnsi="Times New Roman" w:cs="Times New Roman"/>
          <w:sz w:val="24"/>
          <w:szCs w:val="24"/>
        </w:rPr>
        <w:t>The region with the least UCBs is Eastern and North Eastern, in which the number of UCBs is 57 and 16 respectively. North Eastern includes the states of Assam, Manipur and Meghalaya.</w:t>
      </w:r>
    </w:p>
    <w:p w:rsidR="002F3BFF" w:rsidRDefault="002F3BFF"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2F3BFF">
        <w:rPr>
          <w:rFonts w:ascii="Times New Roman" w:hAnsi="Times New Roman" w:cs="Times New Roman"/>
          <w:sz w:val="24"/>
          <w:szCs w:val="24"/>
        </w:rPr>
        <w:t xml:space="preserve">The </w:t>
      </w:r>
      <w:r w:rsidR="008855CB" w:rsidRPr="002F3BFF">
        <w:rPr>
          <w:rFonts w:ascii="Times New Roman" w:hAnsi="Times New Roman" w:cs="Times New Roman"/>
          <w:sz w:val="24"/>
          <w:szCs w:val="24"/>
        </w:rPr>
        <w:t xml:space="preserve">Urban </w:t>
      </w:r>
      <w:r w:rsidRPr="002F3BFF">
        <w:rPr>
          <w:rFonts w:ascii="Times New Roman" w:hAnsi="Times New Roman" w:cs="Times New Roman"/>
          <w:sz w:val="24"/>
          <w:szCs w:val="24"/>
        </w:rPr>
        <w:t>cooperative bank provides largest share in the total financial facility of 34.27 percent of the total financial facility to the MSME</w:t>
      </w:r>
      <w:r>
        <w:rPr>
          <w:rFonts w:ascii="Times New Roman" w:hAnsi="Times New Roman" w:cs="Times New Roman"/>
          <w:sz w:val="24"/>
          <w:szCs w:val="24"/>
        </w:rPr>
        <w:t>s</w:t>
      </w:r>
      <w:r w:rsidRPr="002F3BFF">
        <w:rPr>
          <w:rFonts w:ascii="Times New Roman" w:hAnsi="Times New Roman" w:cs="Times New Roman"/>
          <w:sz w:val="24"/>
          <w:szCs w:val="24"/>
        </w:rPr>
        <w:t xml:space="preserve"> sector. </w:t>
      </w:r>
    </w:p>
    <w:p w:rsidR="005A660A" w:rsidRDefault="005A660A"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2F3BFF">
        <w:rPr>
          <w:rFonts w:ascii="Times New Roman" w:hAnsi="Times New Roman" w:cs="Times New Roman"/>
          <w:sz w:val="24"/>
          <w:szCs w:val="24"/>
        </w:rPr>
        <w:t>Groups are providing direct finance to small entrepreneurs and traders.  UCBs are still following traditional banking practices and many banks especially UCBs.</w:t>
      </w:r>
    </w:p>
    <w:p w:rsidR="002F3BFF" w:rsidRDefault="002F3BFF"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2F3BFF">
        <w:rPr>
          <w:rFonts w:ascii="Times New Roman" w:hAnsi="Times New Roman" w:cs="Times New Roman"/>
          <w:sz w:val="24"/>
          <w:szCs w:val="24"/>
        </w:rPr>
        <w:lastRenderedPageBreak/>
        <w:t>The urban cooperative bank provides 4.2</w:t>
      </w:r>
      <w:r>
        <w:rPr>
          <w:rFonts w:ascii="Times New Roman" w:hAnsi="Times New Roman" w:cs="Times New Roman"/>
          <w:sz w:val="24"/>
          <w:szCs w:val="24"/>
        </w:rPr>
        <w:t>0</w:t>
      </w:r>
      <w:r w:rsidRPr="002F3BFF">
        <w:rPr>
          <w:rFonts w:ascii="Times New Roman" w:hAnsi="Times New Roman" w:cs="Times New Roman"/>
          <w:sz w:val="24"/>
          <w:szCs w:val="24"/>
        </w:rPr>
        <w:t xml:space="preserve"> percent of the total financial facility to the </w:t>
      </w:r>
      <w:r>
        <w:rPr>
          <w:rFonts w:ascii="Times New Roman" w:hAnsi="Times New Roman" w:cs="Times New Roman"/>
          <w:sz w:val="24"/>
          <w:szCs w:val="24"/>
        </w:rPr>
        <w:t>agriculture</w:t>
      </w:r>
      <w:r w:rsidRPr="002F3BFF">
        <w:rPr>
          <w:rFonts w:ascii="Times New Roman" w:hAnsi="Times New Roman" w:cs="Times New Roman"/>
          <w:sz w:val="24"/>
          <w:szCs w:val="24"/>
        </w:rPr>
        <w:t xml:space="preserve"> sector. </w:t>
      </w:r>
    </w:p>
    <w:p w:rsidR="002F3BFF" w:rsidRPr="00DA19FE" w:rsidRDefault="00DA19FE" w:rsidP="00797F21">
      <w:pPr>
        <w:pStyle w:val="ListParagraph"/>
        <w:numPr>
          <w:ilvl w:val="0"/>
          <w:numId w:val="6"/>
        </w:numPr>
        <w:tabs>
          <w:tab w:val="left" w:pos="3390"/>
        </w:tabs>
        <w:spacing w:line="360" w:lineRule="auto"/>
        <w:ind w:left="540"/>
        <w:jc w:val="both"/>
        <w:rPr>
          <w:rFonts w:ascii="Times New Roman" w:hAnsi="Times New Roman" w:cs="Times New Roman"/>
          <w:sz w:val="24"/>
          <w:szCs w:val="24"/>
        </w:rPr>
      </w:pPr>
      <w:r w:rsidRPr="002F3BFF">
        <w:rPr>
          <w:rFonts w:ascii="Times New Roman" w:hAnsi="Times New Roman" w:cs="Times New Roman"/>
          <w:sz w:val="24"/>
          <w:szCs w:val="24"/>
        </w:rPr>
        <w:t xml:space="preserve">The </w:t>
      </w:r>
      <w:r w:rsidR="008855CB" w:rsidRPr="002F3BFF">
        <w:rPr>
          <w:rFonts w:ascii="Times New Roman" w:hAnsi="Times New Roman" w:cs="Times New Roman"/>
          <w:sz w:val="24"/>
          <w:szCs w:val="24"/>
        </w:rPr>
        <w:t xml:space="preserve">Urban </w:t>
      </w:r>
      <w:r w:rsidRPr="002F3BFF">
        <w:rPr>
          <w:rFonts w:ascii="Times New Roman" w:hAnsi="Times New Roman" w:cs="Times New Roman"/>
          <w:sz w:val="24"/>
          <w:szCs w:val="24"/>
        </w:rPr>
        <w:t xml:space="preserve">cooperative bank provides </w:t>
      </w:r>
      <w:r w:rsidRPr="00614054">
        <w:rPr>
          <w:rFonts w:ascii="Times New Roman" w:hAnsi="Times New Roman" w:cs="Times New Roman"/>
          <w:sz w:val="24"/>
          <w:szCs w:val="24"/>
        </w:rPr>
        <w:t>0.4%</w:t>
      </w:r>
      <w:r>
        <w:rPr>
          <w:rFonts w:ascii="Times New Roman" w:hAnsi="Times New Roman" w:cs="Times New Roman"/>
          <w:sz w:val="24"/>
          <w:szCs w:val="24"/>
        </w:rPr>
        <w:t xml:space="preserve"> </w:t>
      </w:r>
      <w:r w:rsidRPr="002F3BFF">
        <w:rPr>
          <w:rFonts w:ascii="Times New Roman" w:hAnsi="Times New Roman" w:cs="Times New Roman"/>
          <w:sz w:val="24"/>
          <w:szCs w:val="24"/>
        </w:rPr>
        <w:t xml:space="preserve">percent of the total financial facility to </w:t>
      </w:r>
      <w:r w:rsidR="008855CB" w:rsidRPr="00DA19FE">
        <w:rPr>
          <w:rFonts w:ascii="Times New Roman" w:hAnsi="Times New Roman" w:cs="Times New Roman"/>
          <w:sz w:val="24"/>
          <w:szCs w:val="24"/>
        </w:rPr>
        <w:t xml:space="preserve">Education </w:t>
      </w:r>
      <w:r w:rsidR="008855CB">
        <w:rPr>
          <w:rFonts w:ascii="Times New Roman" w:hAnsi="Times New Roman" w:cs="Times New Roman"/>
          <w:sz w:val="24"/>
          <w:szCs w:val="24"/>
        </w:rPr>
        <w:t>sector</w:t>
      </w:r>
      <w:r>
        <w:rPr>
          <w:rFonts w:ascii="Times New Roman" w:hAnsi="Times New Roman" w:cs="Times New Roman"/>
          <w:sz w:val="24"/>
          <w:szCs w:val="24"/>
        </w:rPr>
        <w:t>.</w:t>
      </w:r>
      <w:r w:rsidRPr="00DA19FE">
        <w:rPr>
          <w:rFonts w:ascii="Times New Roman" w:hAnsi="Times New Roman" w:cs="Times New Roman"/>
          <w:sz w:val="24"/>
          <w:szCs w:val="24"/>
        </w:rPr>
        <w:t xml:space="preserve"> </w:t>
      </w:r>
    </w:p>
    <w:p w:rsidR="005B39FC" w:rsidRDefault="00B27B0B" w:rsidP="00411CDA">
      <w:pPr>
        <w:tabs>
          <w:tab w:val="left" w:pos="3390"/>
        </w:tabs>
        <w:jc w:val="both"/>
        <w:rPr>
          <w:rFonts w:ascii="Times New Roman" w:hAnsi="Times New Roman" w:cs="Times New Roman"/>
          <w:b/>
          <w:bCs/>
          <w:sz w:val="28"/>
          <w:szCs w:val="28"/>
        </w:rPr>
      </w:pPr>
      <w:r>
        <w:rPr>
          <w:rFonts w:ascii="Times New Roman" w:hAnsi="Times New Roman" w:cs="Times New Roman"/>
          <w:b/>
          <w:bCs/>
          <w:sz w:val="28"/>
          <w:szCs w:val="28"/>
        </w:rPr>
        <w:t>Suggestions</w:t>
      </w:r>
    </w:p>
    <w:p w:rsidR="00793511" w:rsidRPr="00793511" w:rsidRDefault="00793511" w:rsidP="00DF1E1A">
      <w:pPr>
        <w:pStyle w:val="ListParagraph"/>
        <w:numPr>
          <w:ilvl w:val="0"/>
          <w:numId w:val="7"/>
        </w:numPr>
        <w:tabs>
          <w:tab w:val="left" w:pos="3390"/>
        </w:tabs>
        <w:spacing w:line="360" w:lineRule="auto"/>
        <w:ind w:left="540"/>
        <w:jc w:val="both"/>
        <w:rPr>
          <w:rFonts w:ascii="Times New Roman" w:hAnsi="Times New Roman" w:cs="Times New Roman"/>
          <w:b/>
          <w:bCs/>
          <w:sz w:val="24"/>
          <w:szCs w:val="24"/>
        </w:rPr>
      </w:pPr>
      <w:r w:rsidRPr="00793511">
        <w:rPr>
          <w:rFonts w:ascii="Times New Roman" w:hAnsi="Times New Roman" w:cs="Times New Roman"/>
          <w:sz w:val="24"/>
          <w:szCs w:val="24"/>
        </w:rPr>
        <w:t xml:space="preserve">Urban Cooperative Bank is spending very little on renewable energy, there is an urgent need to spend more on this sector to increase sustainable development in the coming times, it is very important to increase the total exports from the urban sector as much as possible. Because it is the sector with the highest employment coefficient. </w:t>
      </w:r>
    </w:p>
    <w:p w:rsidR="00793511" w:rsidRPr="00793511" w:rsidRDefault="005B39FC" w:rsidP="00DF1E1A">
      <w:pPr>
        <w:pStyle w:val="ListParagraph"/>
        <w:numPr>
          <w:ilvl w:val="0"/>
          <w:numId w:val="7"/>
        </w:numPr>
        <w:tabs>
          <w:tab w:val="left" w:pos="3390"/>
        </w:tabs>
        <w:spacing w:line="360" w:lineRule="auto"/>
        <w:ind w:left="540"/>
        <w:jc w:val="both"/>
        <w:rPr>
          <w:rFonts w:ascii="Times New Roman" w:hAnsi="Times New Roman" w:cs="Times New Roman"/>
          <w:b/>
          <w:bCs/>
          <w:sz w:val="24"/>
          <w:szCs w:val="24"/>
        </w:rPr>
      </w:pPr>
      <w:r w:rsidRPr="00793511">
        <w:rPr>
          <w:rFonts w:ascii="Times New Roman" w:hAnsi="Times New Roman" w:cs="Times New Roman"/>
          <w:sz w:val="24"/>
          <w:szCs w:val="24"/>
        </w:rPr>
        <w:t>To increase awareness and interest in products offered under various schemes of FIs, increase in advertisement in local language, on radio and television, and in print media, with local icons and artistes as brand ambassadors of the campaign, could help in building public confidence.</w:t>
      </w:r>
    </w:p>
    <w:p w:rsidR="00305B99" w:rsidRPr="00305B99" w:rsidRDefault="00793511" w:rsidP="00DF1E1A">
      <w:pPr>
        <w:pStyle w:val="ListParagraph"/>
        <w:numPr>
          <w:ilvl w:val="0"/>
          <w:numId w:val="7"/>
        </w:numPr>
        <w:tabs>
          <w:tab w:val="left" w:pos="3390"/>
        </w:tabs>
        <w:spacing w:line="360" w:lineRule="auto"/>
        <w:ind w:left="540"/>
        <w:jc w:val="both"/>
        <w:rPr>
          <w:rFonts w:ascii="Times New Roman" w:hAnsi="Times New Roman" w:cs="Times New Roman"/>
          <w:b/>
          <w:bCs/>
          <w:sz w:val="24"/>
          <w:szCs w:val="24"/>
        </w:rPr>
      </w:pPr>
      <w:r w:rsidRPr="00793511">
        <w:rPr>
          <w:rFonts w:ascii="Times New Roman" w:hAnsi="Times New Roman" w:cs="Times New Roman"/>
          <w:sz w:val="24"/>
          <w:szCs w:val="24"/>
        </w:rPr>
        <w:t>Urban Cooperative Bank</w:t>
      </w:r>
      <w:r>
        <w:rPr>
          <w:rFonts w:ascii="Times New Roman" w:hAnsi="Times New Roman" w:cs="Times New Roman"/>
          <w:sz w:val="24"/>
          <w:szCs w:val="24"/>
        </w:rPr>
        <w:t xml:space="preserve"> should more focus on </w:t>
      </w:r>
      <w:r w:rsidRPr="00793511">
        <w:rPr>
          <w:rFonts w:ascii="Times New Roman" w:hAnsi="Times New Roman" w:cs="Times New Roman"/>
          <w:sz w:val="28"/>
          <w:szCs w:val="28"/>
        </w:rPr>
        <w:t>M</w:t>
      </w:r>
      <w:r w:rsidRPr="00793511">
        <w:rPr>
          <w:rFonts w:ascii="Times New Roman" w:hAnsi="Times New Roman" w:cs="Times New Roman"/>
          <w:sz w:val="24"/>
          <w:szCs w:val="24"/>
        </w:rPr>
        <w:t>SMEs</w:t>
      </w:r>
      <w:r>
        <w:rPr>
          <w:rFonts w:ascii="Times New Roman" w:hAnsi="Times New Roman" w:cs="Times New Roman"/>
          <w:sz w:val="24"/>
          <w:szCs w:val="24"/>
        </w:rPr>
        <w:t xml:space="preserve"> and agriculture sector, because both are very important sector for development of any economy.</w:t>
      </w:r>
    </w:p>
    <w:p w:rsidR="00305B99" w:rsidRPr="0027270B" w:rsidRDefault="00305B99" w:rsidP="0027270B">
      <w:pPr>
        <w:pStyle w:val="ListParagraph"/>
        <w:numPr>
          <w:ilvl w:val="0"/>
          <w:numId w:val="5"/>
        </w:numPr>
        <w:tabs>
          <w:tab w:val="left" w:pos="3390"/>
        </w:tabs>
        <w:spacing w:line="360" w:lineRule="auto"/>
        <w:ind w:left="360"/>
        <w:jc w:val="both"/>
        <w:rPr>
          <w:rFonts w:ascii="Times New Roman" w:hAnsi="Times New Roman" w:cs="Times New Roman"/>
          <w:b/>
          <w:bCs/>
          <w:sz w:val="28"/>
          <w:szCs w:val="28"/>
        </w:rPr>
      </w:pPr>
      <w:r w:rsidRPr="0027270B">
        <w:rPr>
          <w:rFonts w:ascii="Times New Roman" w:hAnsi="Times New Roman" w:cs="Times New Roman"/>
          <w:b/>
          <w:bCs/>
          <w:sz w:val="28"/>
          <w:szCs w:val="28"/>
        </w:rPr>
        <w:t>Conclusion</w:t>
      </w:r>
    </w:p>
    <w:p w:rsidR="00107217" w:rsidRPr="00107217" w:rsidRDefault="00107217" w:rsidP="00107217">
      <w:pPr>
        <w:tabs>
          <w:tab w:val="left" w:pos="3390"/>
        </w:tabs>
        <w:spacing w:line="360" w:lineRule="auto"/>
        <w:jc w:val="both"/>
        <w:rPr>
          <w:rFonts w:ascii="Times New Roman" w:hAnsi="Times New Roman" w:cs="Times New Roman"/>
          <w:sz w:val="24"/>
          <w:szCs w:val="24"/>
        </w:rPr>
      </w:pPr>
      <w:r w:rsidRPr="00107217">
        <w:rPr>
          <w:rFonts w:ascii="Times New Roman" w:hAnsi="Times New Roman" w:cs="Times New Roman"/>
          <w:sz w:val="24"/>
          <w:szCs w:val="24"/>
        </w:rPr>
        <w:t xml:space="preserve">It is now quite clear that cooperative banks are of most importance for development of an economy. Without the help of cooperative banks, millions of people in India would be without the much needed financial support. </w:t>
      </w:r>
    </w:p>
    <w:p w:rsidR="00107217" w:rsidRPr="00107217" w:rsidRDefault="00107217" w:rsidP="00107217">
      <w:pPr>
        <w:tabs>
          <w:tab w:val="left" w:pos="3390"/>
        </w:tabs>
        <w:spacing w:line="360" w:lineRule="auto"/>
        <w:jc w:val="both"/>
        <w:rPr>
          <w:rFonts w:ascii="Times New Roman" w:hAnsi="Times New Roman" w:cs="Times New Roman"/>
          <w:sz w:val="24"/>
          <w:szCs w:val="24"/>
        </w:rPr>
      </w:pPr>
      <w:r w:rsidRPr="00107217">
        <w:rPr>
          <w:rFonts w:ascii="Times New Roman" w:hAnsi="Times New Roman" w:cs="Times New Roman"/>
          <w:sz w:val="24"/>
          <w:szCs w:val="24"/>
        </w:rPr>
        <w:t xml:space="preserve">Urban cooperative banks, which are on their way to becoming pioneers in the financial system, face many challenges. It is very important to take note of these obstacles and correct them as soon as possible. In India we currently have around 1514 UCBs providing a wide range of services to their customers, most of the UCBs still provide NEFT, RTGS services in association with sponsoring commercial banks. Urban Co-operative Bank plays a very important role for </w:t>
      </w:r>
      <w:r w:rsidR="00DA4E92" w:rsidRPr="00107217">
        <w:rPr>
          <w:rFonts w:ascii="Times New Roman" w:hAnsi="Times New Roman" w:cs="Times New Roman"/>
          <w:sz w:val="24"/>
          <w:szCs w:val="24"/>
        </w:rPr>
        <w:t>the development</w:t>
      </w:r>
      <w:r w:rsidRPr="00107217">
        <w:rPr>
          <w:rFonts w:ascii="Times New Roman" w:hAnsi="Times New Roman" w:cs="Times New Roman"/>
          <w:sz w:val="24"/>
          <w:szCs w:val="24"/>
        </w:rPr>
        <w:t xml:space="preserve"> of India.</w:t>
      </w:r>
    </w:p>
    <w:p w:rsidR="00875D54" w:rsidRDefault="00875D54" w:rsidP="00411CDA">
      <w:pPr>
        <w:tabs>
          <w:tab w:val="left" w:pos="3390"/>
        </w:tabs>
        <w:jc w:val="both"/>
        <w:rPr>
          <w:rFonts w:ascii="Times New Roman" w:hAnsi="Times New Roman" w:cs="Times New Roman"/>
          <w:b/>
          <w:bCs/>
          <w:sz w:val="28"/>
          <w:szCs w:val="28"/>
        </w:rPr>
      </w:pPr>
    </w:p>
    <w:p w:rsidR="00875D54" w:rsidRDefault="00875D54" w:rsidP="00411CDA">
      <w:pPr>
        <w:tabs>
          <w:tab w:val="left" w:pos="3390"/>
        </w:tabs>
        <w:jc w:val="both"/>
        <w:rPr>
          <w:rFonts w:ascii="Times New Roman" w:hAnsi="Times New Roman" w:cs="Times New Roman"/>
          <w:b/>
          <w:bCs/>
          <w:sz w:val="28"/>
          <w:szCs w:val="28"/>
        </w:rPr>
      </w:pPr>
    </w:p>
    <w:p w:rsidR="00875D54" w:rsidRDefault="00875D54" w:rsidP="00411CDA">
      <w:pPr>
        <w:tabs>
          <w:tab w:val="left" w:pos="3390"/>
        </w:tabs>
        <w:jc w:val="both"/>
        <w:rPr>
          <w:rFonts w:ascii="Times New Roman" w:hAnsi="Times New Roman" w:cs="Times New Roman"/>
          <w:b/>
          <w:bCs/>
          <w:sz w:val="28"/>
          <w:szCs w:val="28"/>
        </w:rPr>
      </w:pPr>
    </w:p>
    <w:p w:rsidR="005E0EEF" w:rsidRPr="00C0633D" w:rsidRDefault="00491BDA" w:rsidP="00411CDA">
      <w:pPr>
        <w:tabs>
          <w:tab w:val="left" w:pos="3390"/>
        </w:tabs>
        <w:jc w:val="both"/>
        <w:rPr>
          <w:rFonts w:ascii="Times New Roman" w:hAnsi="Times New Roman" w:cs="Times New Roman"/>
          <w:b/>
          <w:bCs/>
          <w:sz w:val="28"/>
          <w:szCs w:val="28"/>
        </w:rPr>
      </w:pPr>
      <w:r>
        <w:rPr>
          <w:rFonts w:ascii="Times New Roman" w:hAnsi="Times New Roman" w:cs="Times New Roman"/>
          <w:b/>
          <w:bCs/>
          <w:sz w:val="28"/>
          <w:szCs w:val="28"/>
        </w:rPr>
        <w:lastRenderedPageBreak/>
        <w:t>R</w:t>
      </w:r>
      <w:r w:rsidR="005E0EEF" w:rsidRPr="00C0633D">
        <w:rPr>
          <w:rFonts w:ascii="Times New Roman" w:hAnsi="Times New Roman" w:cs="Times New Roman"/>
          <w:b/>
          <w:bCs/>
          <w:sz w:val="28"/>
          <w:szCs w:val="28"/>
        </w:rPr>
        <w:t>eference</w:t>
      </w:r>
      <w:r w:rsidR="00D84E08">
        <w:rPr>
          <w:rFonts w:ascii="Times New Roman" w:hAnsi="Times New Roman" w:cs="Times New Roman"/>
          <w:b/>
          <w:bCs/>
          <w:sz w:val="28"/>
          <w:szCs w:val="28"/>
        </w:rPr>
        <w:t>s</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GOI (1998): Report of the Committee on Banking Sector Reforms, RBI, Mumbai Reserve Bank of India (1999).</w:t>
      </w:r>
    </w:p>
    <w:p w:rsidR="00F77DAE" w:rsidRPr="00F77DAE"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F77DAE">
        <w:rPr>
          <w:rFonts w:ascii="Times New Roman" w:hAnsi="Times New Roman" w:cs="Times New Roman"/>
          <w:sz w:val="24"/>
          <w:szCs w:val="24"/>
        </w:rPr>
        <w:t>Inclusive Finance India Report 2014-2018</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Jawahar Babu KVSN. (2012). Performance evaluation of Urban Co-operative Banks in India”, IOSR Journal of Business and Management (IOSRJBM).</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Khan HF. (2010). A critical study of the functioning of urban cooperative banks in Hyderabad. M. Phil, Thesis, Madurai Kamraj University.</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Kumar, N. (2013). Financial Inclusion and its Determinants: Evidence from India. Journal of Financial Economic Policy, 5(1), 4-19. </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i/>
          <w:iCs/>
          <w:sz w:val="24"/>
          <w:szCs w:val="24"/>
        </w:rPr>
      </w:pPr>
      <w:r w:rsidRPr="007540B6">
        <w:rPr>
          <w:rFonts w:ascii="Times New Roman" w:hAnsi="Times New Roman" w:cs="Times New Roman"/>
          <w:sz w:val="24"/>
          <w:szCs w:val="24"/>
        </w:rPr>
        <w:t>Mathur B. S. (1977), Co-operation in India,</w:t>
      </w:r>
      <w:r w:rsidRPr="007540B6">
        <w:rPr>
          <w:rFonts w:ascii="Times New Roman" w:hAnsi="Times New Roman" w:cs="Times New Roman"/>
          <w:i/>
          <w:iCs/>
          <w:sz w:val="24"/>
          <w:szCs w:val="24"/>
        </w:rPr>
        <w:t xml:space="preserve"> Sahitya Bhavan, </w:t>
      </w:r>
      <w:r w:rsidRPr="007540B6">
        <w:rPr>
          <w:rFonts w:ascii="Times New Roman" w:hAnsi="Times New Roman" w:cs="Times New Roman"/>
          <w:sz w:val="24"/>
          <w:szCs w:val="24"/>
        </w:rPr>
        <w:t>Agra, 3rd Edition.</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Mithani DM, Gordon E. (2008).  Banking and financial system published by, Himalaya publishing house.</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Ramesha K (2004). Economic Reforms and the Performance of Co-operative Sector in India – Lessons for Future, International Association for the Economics of Participation, 12th Biannual Conference, Saint Mary’s University, Halifax, Canada, July 8-10, 2004. </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Ramesha K, C. N. &amp;  Rishi M., (2006). Who Failed Whom? An Empirical Assessment of Prudential Standards and Co-operative Banks inIndia, AEAASSA Annual Conference, January 6-8, 2006, Boston MA, USA.</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 Ranjani, K. S., &amp;  Bapat, V. (2015). Deepening Financial Inclusion beyond Account Opening: Road Ahead for Banks. </w:t>
      </w:r>
      <w:r w:rsidRPr="007540B6">
        <w:rPr>
          <w:rFonts w:ascii="Times New Roman" w:hAnsi="Times New Roman" w:cs="Times New Roman"/>
          <w:i/>
          <w:iCs/>
          <w:sz w:val="24"/>
          <w:szCs w:val="24"/>
        </w:rPr>
        <w:t>Business Perspectives and Research</w:t>
      </w:r>
      <w:r w:rsidRPr="007540B6">
        <w:rPr>
          <w:rFonts w:ascii="Times New Roman" w:hAnsi="Times New Roman" w:cs="Times New Roman"/>
          <w:sz w:val="24"/>
          <w:szCs w:val="24"/>
        </w:rPr>
        <w:t>, 3 (1), 52-65.</w:t>
      </w:r>
    </w:p>
    <w:p w:rsidR="00F77DAE" w:rsidRPr="007540B6"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Rao K.V, Nirmala D. (2006). Performance Evaluation of Urban Cooperative Banks. </w:t>
      </w:r>
      <w:r w:rsidRPr="007540B6">
        <w:rPr>
          <w:rFonts w:ascii="Times New Roman" w:hAnsi="Times New Roman" w:cs="Times New Roman"/>
          <w:i/>
          <w:iCs/>
          <w:sz w:val="24"/>
          <w:szCs w:val="24"/>
        </w:rPr>
        <w:t>The Indian Journal of Commerce: Indian Commerce Association</w:t>
      </w:r>
      <w:r w:rsidRPr="007540B6">
        <w:rPr>
          <w:rFonts w:ascii="Times New Roman" w:hAnsi="Times New Roman" w:cs="Times New Roman"/>
          <w:sz w:val="24"/>
          <w:szCs w:val="24"/>
        </w:rPr>
        <w:t>.</w:t>
      </w:r>
    </w:p>
    <w:p w:rsidR="00F77DAE" w:rsidRDefault="00F77DAE"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RBI- Report of the committee on Urban Co-operative Banks, RBI, Agricultural Credit Department, Bombay.1979.</w:t>
      </w:r>
    </w:p>
    <w:p w:rsidR="00F77DAE" w:rsidRPr="00F77DAE" w:rsidRDefault="001F182D" w:rsidP="00F77DAE">
      <w:pPr>
        <w:pStyle w:val="ListParagraph"/>
        <w:numPr>
          <w:ilvl w:val="0"/>
          <w:numId w:val="10"/>
        </w:numPr>
        <w:tabs>
          <w:tab w:val="left" w:pos="3390"/>
        </w:tabs>
        <w:spacing w:line="360" w:lineRule="auto"/>
        <w:jc w:val="both"/>
        <w:rPr>
          <w:rFonts w:ascii="Times New Roman" w:hAnsi="Times New Roman" w:cs="Times New Roman"/>
          <w:sz w:val="24"/>
          <w:szCs w:val="24"/>
        </w:rPr>
      </w:pPr>
      <w:hyperlink r:id="rId14" w:history="1">
        <w:r w:rsidR="007540B6" w:rsidRPr="007540B6">
          <w:rPr>
            <w:rStyle w:val="Hyperlink"/>
            <w:rFonts w:ascii="Times New Roman" w:hAnsi="Times New Roman" w:cs="Times New Roman"/>
            <w:sz w:val="24"/>
            <w:szCs w:val="24"/>
          </w:rPr>
          <w:t>www.rbi.org.in</w:t>
        </w:r>
      </w:hyperlink>
    </w:p>
    <w:p w:rsidR="007540B6" w:rsidRPr="007540B6" w:rsidRDefault="007540B6"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 </w:t>
      </w:r>
      <w:hyperlink r:id="rId15" w:history="1">
        <w:r w:rsidRPr="007540B6">
          <w:rPr>
            <w:rStyle w:val="Hyperlink"/>
            <w:rFonts w:ascii="Times New Roman" w:hAnsi="Times New Roman" w:cs="Times New Roman"/>
            <w:sz w:val="24"/>
            <w:szCs w:val="24"/>
          </w:rPr>
          <w:t>www.nabard.org</w:t>
        </w:r>
      </w:hyperlink>
    </w:p>
    <w:p w:rsidR="007540B6" w:rsidRDefault="007540B6" w:rsidP="007540B6">
      <w:pPr>
        <w:pStyle w:val="ListParagraph"/>
        <w:numPr>
          <w:ilvl w:val="0"/>
          <w:numId w:val="10"/>
        </w:numPr>
        <w:tabs>
          <w:tab w:val="left" w:pos="3390"/>
        </w:tabs>
        <w:spacing w:line="360" w:lineRule="auto"/>
        <w:jc w:val="both"/>
        <w:rPr>
          <w:rFonts w:ascii="Times New Roman" w:hAnsi="Times New Roman" w:cs="Times New Roman"/>
          <w:sz w:val="24"/>
          <w:szCs w:val="24"/>
        </w:rPr>
      </w:pPr>
      <w:r w:rsidRPr="007540B6">
        <w:rPr>
          <w:rFonts w:ascii="Times New Roman" w:hAnsi="Times New Roman" w:cs="Times New Roman"/>
          <w:sz w:val="24"/>
          <w:szCs w:val="24"/>
        </w:rPr>
        <w:t xml:space="preserve"> </w:t>
      </w:r>
      <w:hyperlink r:id="rId16" w:history="1">
        <w:r w:rsidRPr="007540B6">
          <w:rPr>
            <w:rStyle w:val="Hyperlink"/>
            <w:rFonts w:ascii="Times New Roman" w:hAnsi="Times New Roman" w:cs="Times New Roman"/>
            <w:sz w:val="24"/>
            <w:szCs w:val="24"/>
          </w:rPr>
          <w:t>www.jstor.org</w:t>
        </w:r>
      </w:hyperlink>
    </w:p>
    <w:p w:rsidR="001E76E8" w:rsidRDefault="001F182D" w:rsidP="007540B6">
      <w:pPr>
        <w:pStyle w:val="ListParagraph"/>
        <w:numPr>
          <w:ilvl w:val="0"/>
          <w:numId w:val="10"/>
        </w:numPr>
        <w:tabs>
          <w:tab w:val="left" w:pos="3390"/>
        </w:tabs>
        <w:spacing w:line="360" w:lineRule="auto"/>
        <w:jc w:val="both"/>
        <w:rPr>
          <w:rFonts w:ascii="Times New Roman" w:hAnsi="Times New Roman" w:cs="Times New Roman"/>
          <w:sz w:val="24"/>
          <w:szCs w:val="24"/>
        </w:rPr>
      </w:pPr>
      <w:hyperlink r:id="rId17" w:history="1">
        <w:r w:rsidR="001E76E8" w:rsidRPr="000F62DD">
          <w:rPr>
            <w:rStyle w:val="Hyperlink"/>
            <w:rFonts w:ascii="Times New Roman" w:hAnsi="Times New Roman" w:cs="Times New Roman"/>
            <w:sz w:val="24"/>
            <w:szCs w:val="24"/>
          </w:rPr>
          <w:t>https://nafcub.org/management.php</w:t>
        </w:r>
      </w:hyperlink>
    </w:p>
    <w:p w:rsidR="007540B6" w:rsidRPr="00F77DAE" w:rsidRDefault="001F182D" w:rsidP="007540B6">
      <w:pPr>
        <w:pStyle w:val="ListParagraph"/>
        <w:numPr>
          <w:ilvl w:val="0"/>
          <w:numId w:val="10"/>
        </w:numPr>
        <w:tabs>
          <w:tab w:val="left" w:pos="3390"/>
        </w:tabs>
        <w:spacing w:line="360" w:lineRule="auto"/>
        <w:jc w:val="both"/>
        <w:rPr>
          <w:rFonts w:ascii="Times New Roman" w:hAnsi="Times New Roman" w:cs="Times New Roman"/>
          <w:sz w:val="24"/>
          <w:szCs w:val="24"/>
        </w:rPr>
      </w:pPr>
      <w:hyperlink r:id="rId18" w:history="1">
        <w:r w:rsidR="001E76E8" w:rsidRPr="00F77DAE">
          <w:rPr>
            <w:rStyle w:val="Hyperlink"/>
            <w:rFonts w:ascii="Times New Roman" w:hAnsi="Times New Roman" w:cs="Times New Roman"/>
            <w:sz w:val="24"/>
            <w:szCs w:val="24"/>
          </w:rPr>
          <w:t>https://cooperation.gov.in/ministry-cooperation</w:t>
        </w:r>
      </w:hyperlink>
    </w:p>
    <w:sectPr w:rsidR="007540B6" w:rsidRPr="00F77DAE" w:rsidSect="0023657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55A4" w:rsidRDefault="005A55A4" w:rsidP="00C7388C">
      <w:pPr>
        <w:spacing w:after="0" w:line="240" w:lineRule="auto"/>
      </w:pPr>
      <w:r>
        <w:separator/>
      </w:r>
    </w:p>
  </w:endnote>
  <w:endnote w:type="continuationSeparator" w:id="1">
    <w:p w:rsidR="005A55A4" w:rsidRDefault="005A55A4" w:rsidP="00C738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55A4" w:rsidRDefault="005A55A4" w:rsidP="00C7388C">
      <w:pPr>
        <w:spacing w:after="0" w:line="240" w:lineRule="auto"/>
      </w:pPr>
      <w:r>
        <w:separator/>
      </w:r>
    </w:p>
  </w:footnote>
  <w:footnote w:type="continuationSeparator" w:id="1">
    <w:p w:rsidR="005A55A4" w:rsidRDefault="005A55A4" w:rsidP="00C7388C">
      <w:pPr>
        <w:spacing w:after="0" w:line="240" w:lineRule="auto"/>
      </w:pPr>
      <w:r>
        <w:continuationSeparator/>
      </w:r>
    </w:p>
  </w:footnote>
  <w:footnote w:id="2">
    <w:p w:rsidR="00DF1E1A" w:rsidRDefault="00DF1E1A">
      <w:pPr>
        <w:pStyle w:val="FootnoteText"/>
      </w:pPr>
      <w:r>
        <w:rPr>
          <w:rStyle w:val="FootnoteReference"/>
        </w:rPr>
        <w:footnoteRef/>
      </w:r>
      <w:r>
        <w:t xml:space="preserve"> Dr. Diksha Rani, Assistant Professor, Economics Department, INMPG College Meerut</w:t>
      </w:r>
    </w:p>
  </w:footnote>
  <w:footnote w:id="3">
    <w:p w:rsidR="00304101" w:rsidRPr="00304101" w:rsidRDefault="008A452C" w:rsidP="00304101">
      <w:pPr>
        <w:shd w:val="clear" w:color="auto" w:fill="FFFFFF"/>
        <w:spacing w:before="100" w:beforeAutospacing="1" w:after="100" w:afterAutospacing="1" w:line="240" w:lineRule="auto"/>
        <w:jc w:val="both"/>
        <w:rPr>
          <w:sz w:val="20"/>
          <w:szCs w:val="20"/>
        </w:rPr>
      </w:pPr>
      <w:r w:rsidRPr="00304101">
        <w:rPr>
          <w:sz w:val="20"/>
          <w:szCs w:val="20"/>
        </w:rPr>
        <w:footnoteRef/>
      </w:r>
      <w:r w:rsidRPr="00304101">
        <w:rPr>
          <w:sz w:val="20"/>
          <w:szCs w:val="20"/>
        </w:rPr>
        <w:t xml:space="preserve"> Dr. Manoj </w:t>
      </w:r>
      <w:r w:rsidR="00B43E53" w:rsidRPr="00304101">
        <w:rPr>
          <w:sz w:val="20"/>
          <w:szCs w:val="20"/>
        </w:rPr>
        <w:t xml:space="preserve">Kumar </w:t>
      </w:r>
      <w:r w:rsidR="00304101" w:rsidRPr="00304101">
        <w:rPr>
          <w:sz w:val="20"/>
          <w:szCs w:val="20"/>
        </w:rPr>
        <w:t>Singh,</w:t>
      </w:r>
      <w:r w:rsidRPr="00304101">
        <w:rPr>
          <w:sz w:val="20"/>
          <w:szCs w:val="20"/>
        </w:rPr>
        <w:t xml:space="preserve"> </w:t>
      </w:r>
      <w:r w:rsidR="00304101" w:rsidRPr="00304101">
        <w:rPr>
          <w:sz w:val="20"/>
          <w:szCs w:val="20"/>
        </w:rPr>
        <w:t>Dr. Bhimrao Ambedkar University, Agra.</w:t>
      </w:r>
    </w:p>
    <w:p w:rsidR="008A452C" w:rsidRDefault="008A452C">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67EA"/>
      </v:shape>
    </w:pict>
  </w:numPicBullet>
  <w:abstractNum w:abstractNumId="0">
    <w:nsid w:val="161C64C2"/>
    <w:multiLevelType w:val="multilevel"/>
    <w:tmpl w:val="88F0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BA1806"/>
    <w:multiLevelType w:val="multilevel"/>
    <w:tmpl w:val="B3E4A3D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260C45BE"/>
    <w:multiLevelType w:val="hybridMultilevel"/>
    <w:tmpl w:val="83BC40D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626AE4"/>
    <w:multiLevelType w:val="hybridMultilevel"/>
    <w:tmpl w:val="729659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F10B04"/>
    <w:multiLevelType w:val="hybridMultilevel"/>
    <w:tmpl w:val="B46C0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040F74"/>
    <w:multiLevelType w:val="multilevel"/>
    <w:tmpl w:val="2D7C7C60"/>
    <w:lvl w:ilvl="0">
      <w:start w:val="1"/>
      <w:numFmt w:val="decimal"/>
      <w:lvlText w:val="%1."/>
      <w:lvlJc w:val="left"/>
      <w:pPr>
        <w:ind w:left="450" w:hanging="360"/>
      </w:pPr>
      <w:rPr>
        <w:rFonts w:hint="default"/>
      </w:rPr>
    </w:lvl>
    <w:lvl w:ilvl="1">
      <w:start w:val="1"/>
      <w:numFmt w:val="decimal"/>
      <w:isLgl/>
      <w:lvlText w:val="%1.%2."/>
      <w:lvlJc w:val="left"/>
      <w:pPr>
        <w:ind w:left="810" w:hanging="720"/>
      </w:pPr>
      <w:rPr>
        <w:rFonts w:hint="default"/>
        <w:color w:val="auto"/>
        <w:sz w:val="24"/>
      </w:rPr>
    </w:lvl>
    <w:lvl w:ilvl="2">
      <w:start w:val="1"/>
      <w:numFmt w:val="decimal"/>
      <w:isLgl/>
      <w:lvlText w:val="%1.%2.%3."/>
      <w:lvlJc w:val="left"/>
      <w:pPr>
        <w:ind w:left="1170" w:hanging="1080"/>
      </w:pPr>
      <w:rPr>
        <w:rFonts w:hint="default"/>
        <w:color w:val="auto"/>
        <w:sz w:val="24"/>
      </w:rPr>
    </w:lvl>
    <w:lvl w:ilvl="3">
      <w:start w:val="1"/>
      <w:numFmt w:val="decimal"/>
      <w:isLgl/>
      <w:lvlText w:val="%1.%2.%3.%4."/>
      <w:lvlJc w:val="left"/>
      <w:pPr>
        <w:ind w:left="1170" w:hanging="1080"/>
      </w:pPr>
      <w:rPr>
        <w:rFonts w:hint="default"/>
        <w:color w:val="auto"/>
        <w:sz w:val="24"/>
      </w:rPr>
    </w:lvl>
    <w:lvl w:ilvl="4">
      <w:start w:val="1"/>
      <w:numFmt w:val="decimal"/>
      <w:isLgl/>
      <w:lvlText w:val="%1.%2.%3.%4.%5."/>
      <w:lvlJc w:val="left"/>
      <w:pPr>
        <w:ind w:left="1530" w:hanging="1440"/>
      </w:pPr>
      <w:rPr>
        <w:rFonts w:hint="default"/>
        <w:color w:val="auto"/>
        <w:sz w:val="24"/>
      </w:rPr>
    </w:lvl>
    <w:lvl w:ilvl="5">
      <w:start w:val="1"/>
      <w:numFmt w:val="decimal"/>
      <w:isLgl/>
      <w:lvlText w:val="%1.%2.%3.%4.%5.%6."/>
      <w:lvlJc w:val="left"/>
      <w:pPr>
        <w:ind w:left="1890" w:hanging="1800"/>
      </w:pPr>
      <w:rPr>
        <w:rFonts w:hint="default"/>
        <w:color w:val="auto"/>
        <w:sz w:val="24"/>
      </w:rPr>
    </w:lvl>
    <w:lvl w:ilvl="6">
      <w:start w:val="1"/>
      <w:numFmt w:val="decimal"/>
      <w:isLgl/>
      <w:lvlText w:val="%1.%2.%3.%4.%5.%6.%7."/>
      <w:lvlJc w:val="left"/>
      <w:pPr>
        <w:ind w:left="2250" w:hanging="2160"/>
      </w:pPr>
      <w:rPr>
        <w:rFonts w:hint="default"/>
        <w:color w:val="auto"/>
        <w:sz w:val="24"/>
      </w:rPr>
    </w:lvl>
    <w:lvl w:ilvl="7">
      <w:start w:val="1"/>
      <w:numFmt w:val="decimal"/>
      <w:isLgl/>
      <w:lvlText w:val="%1.%2.%3.%4.%5.%6.%7.%8."/>
      <w:lvlJc w:val="left"/>
      <w:pPr>
        <w:ind w:left="2250" w:hanging="2160"/>
      </w:pPr>
      <w:rPr>
        <w:rFonts w:hint="default"/>
        <w:color w:val="auto"/>
        <w:sz w:val="24"/>
      </w:rPr>
    </w:lvl>
    <w:lvl w:ilvl="8">
      <w:start w:val="1"/>
      <w:numFmt w:val="decimal"/>
      <w:isLgl/>
      <w:lvlText w:val="%1.%2.%3.%4.%5.%6.%7.%8.%9."/>
      <w:lvlJc w:val="left"/>
      <w:pPr>
        <w:ind w:left="2610" w:hanging="2520"/>
      </w:pPr>
      <w:rPr>
        <w:rFonts w:hint="default"/>
        <w:color w:val="auto"/>
        <w:sz w:val="24"/>
      </w:rPr>
    </w:lvl>
  </w:abstractNum>
  <w:abstractNum w:abstractNumId="6">
    <w:nsid w:val="76C65554"/>
    <w:multiLevelType w:val="hybridMultilevel"/>
    <w:tmpl w:val="9D0AFEB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775D77AD"/>
    <w:multiLevelType w:val="hybridMultilevel"/>
    <w:tmpl w:val="E2CC62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7B345141"/>
    <w:multiLevelType w:val="multilevel"/>
    <w:tmpl w:val="C394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7957BD"/>
    <w:multiLevelType w:val="hybridMultilevel"/>
    <w:tmpl w:val="7DA81560"/>
    <w:lvl w:ilvl="0" w:tplc="5630CD96">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F302DE"/>
    <w:multiLevelType w:val="hybridMultilevel"/>
    <w:tmpl w:val="59B4B84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0"/>
  </w:num>
  <w:num w:numId="4">
    <w:abstractNumId w:val="9"/>
  </w:num>
  <w:num w:numId="5">
    <w:abstractNumId w:val="1"/>
  </w:num>
  <w:num w:numId="6">
    <w:abstractNumId w:val="3"/>
  </w:num>
  <w:num w:numId="7">
    <w:abstractNumId w:val="10"/>
  </w:num>
  <w:num w:numId="8">
    <w:abstractNumId w:val="2"/>
  </w:num>
  <w:num w:numId="9">
    <w:abstractNumId w:val="5"/>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F2A5E"/>
    <w:rsid w:val="00002AD7"/>
    <w:rsid w:val="0008347E"/>
    <w:rsid w:val="00096A2E"/>
    <w:rsid w:val="000C7475"/>
    <w:rsid w:val="00107217"/>
    <w:rsid w:val="00165A94"/>
    <w:rsid w:val="0018445B"/>
    <w:rsid w:val="00197AB5"/>
    <w:rsid w:val="001A4CB6"/>
    <w:rsid w:val="001A6092"/>
    <w:rsid w:val="001D240F"/>
    <w:rsid w:val="001E76E8"/>
    <w:rsid w:val="001F182D"/>
    <w:rsid w:val="001F6D93"/>
    <w:rsid w:val="00236572"/>
    <w:rsid w:val="00261765"/>
    <w:rsid w:val="0027270B"/>
    <w:rsid w:val="002A004D"/>
    <w:rsid w:val="002C21DA"/>
    <w:rsid w:val="002C75A1"/>
    <w:rsid w:val="002D0EB1"/>
    <w:rsid w:val="002E1E89"/>
    <w:rsid w:val="002E209B"/>
    <w:rsid w:val="002E68B1"/>
    <w:rsid w:val="002F3BFF"/>
    <w:rsid w:val="00304101"/>
    <w:rsid w:val="00305B99"/>
    <w:rsid w:val="00306C42"/>
    <w:rsid w:val="003B36C7"/>
    <w:rsid w:val="003D4C6D"/>
    <w:rsid w:val="003E095F"/>
    <w:rsid w:val="0040300F"/>
    <w:rsid w:val="00403ADF"/>
    <w:rsid w:val="00411CDA"/>
    <w:rsid w:val="00411E20"/>
    <w:rsid w:val="004150BA"/>
    <w:rsid w:val="004673C3"/>
    <w:rsid w:val="00471366"/>
    <w:rsid w:val="00491BDA"/>
    <w:rsid w:val="004A42C0"/>
    <w:rsid w:val="004E0CA2"/>
    <w:rsid w:val="00564EF3"/>
    <w:rsid w:val="005A55A4"/>
    <w:rsid w:val="005A660A"/>
    <w:rsid w:val="005B39FC"/>
    <w:rsid w:val="005D37E6"/>
    <w:rsid w:val="005E0EEF"/>
    <w:rsid w:val="005F2A5E"/>
    <w:rsid w:val="00614054"/>
    <w:rsid w:val="006218F1"/>
    <w:rsid w:val="006A4E35"/>
    <w:rsid w:val="006D77EC"/>
    <w:rsid w:val="006F619E"/>
    <w:rsid w:val="00730A77"/>
    <w:rsid w:val="007540B6"/>
    <w:rsid w:val="00774EDF"/>
    <w:rsid w:val="0078444D"/>
    <w:rsid w:val="00793511"/>
    <w:rsid w:val="00797F21"/>
    <w:rsid w:val="00817B10"/>
    <w:rsid w:val="0082724D"/>
    <w:rsid w:val="008440B9"/>
    <w:rsid w:val="00844C64"/>
    <w:rsid w:val="00864F4E"/>
    <w:rsid w:val="008664FB"/>
    <w:rsid w:val="00875D54"/>
    <w:rsid w:val="00880B73"/>
    <w:rsid w:val="008855CB"/>
    <w:rsid w:val="008A452C"/>
    <w:rsid w:val="008A75A7"/>
    <w:rsid w:val="008C162F"/>
    <w:rsid w:val="008F21F6"/>
    <w:rsid w:val="00903A4A"/>
    <w:rsid w:val="00920C75"/>
    <w:rsid w:val="00955F6F"/>
    <w:rsid w:val="00963842"/>
    <w:rsid w:val="00977514"/>
    <w:rsid w:val="009B0F92"/>
    <w:rsid w:val="009C0AB0"/>
    <w:rsid w:val="009C3F43"/>
    <w:rsid w:val="009E4729"/>
    <w:rsid w:val="009F50C5"/>
    <w:rsid w:val="00A7704F"/>
    <w:rsid w:val="00A87D42"/>
    <w:rsid w:val="00AF49CB"/>
    <w:rsid w:val="00B027F3"/>
    <w:rsid w:val="00B1299D"/>
    <w:rsid w:val="00B27B0B"/>
    <w:rsid w:val="00B30E4B"/>
    <w:rsid w:val="00B43E53"/>
    <w:rsid w:val="00B57F4D"/>
    <w:rsid w:val="00B6457D"/>
    <w:rsid w:val="00B73B5F"/>
    <w:rsid w:val="00B91CD9"/>
    <w:rsid w:val="00C0633D"/>
    <w:rsid w:val="00C7388C"/>
    <w:rsid w:val="00C92982"/>
    <w:rsid w:val="00C95497"/>
    <w:rsid w:val="00D13BFA"/>
    <w:rsid w:val="00D14A30"/>
    <w:rsid w:val="00D21B50"/>
    <w:rsid w:val="00D41E3D"/>
    <w:rsid w:val="00D42D3E"/>
    <w:rsid w:val="00D47A6A"/>
    <w:rsid w:val="00D8341E"/>
    <w:rsid w:val="00D84E08"/>
    <w:rsid w:val="00D8581F"/>
    <w:rsid w:val="00D90306"/>
    <w:rsid w:val="00DA19FE"/>
    <w:rsid w:val="00DA4E92"/>
    <w:rsid w:val="00DB2721"/>
    <w:rsid w:val="00DF049A"/>
    <w:rsid w:val="00DF1E1A"/>
    <w:rsid w:val="00E372C3"/>
    <w:rsid w:val="00E76FED"/>
    <w:rsid w:val="00E97B52"/>
    <w:rsid w:val="00ED2399"/>
    <w:rsid w:val="00F247CB"/>
    <w:rsid w:val="00F77DAE"/>
    <w:rsid w:val="00FB2412"/>
    <w:rsid w:val="00FC24DD"/>
    <w:rsid w:val="00FC400E"/>
    <w:rsid w:val="00FE72AC"/>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511"/>
  </w:style>
  <w:style w:type="paragraph" w:styleId="Heading2">
    <w:name w:val="heading 2"/>
    <w:basedOn w:val="Normal"/>
    <w:link w:val="Heading2Char"/>
    <w:uiPriority w:val="9"/>
    <w:qFormat/>
    <w:rsid w:val="008C162F"/>
    <w:pPr>
      <w:spacing w:before="100" w:beforeAutospacing="1" w:after="100" w:afterAutospacing="1" w:line="240" w:lineRule="auto"/>
      <w:outlineLvl w:val="1"/>
    </w:pPr>
    <w:rPr>
      <w:rFonts w:ascii="Times New Roman" w:eastAsia="Times New Roman" w:hAnsi="Times New Roman" w:cs="Times New Roman"/>
      <w:b/>
      <w:bCs/>
      <w:sz w:val="36"/>
      <w:szCs w:val="36"/>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w">
    <w:name w:val="sw"/>
    <w:basedOn w:val="DefaultParagraphFont"/>
    <w:rsid w:val="00D14A30"/>
  </w:style>
  <w:style w:type="character" w:customStyle="1" w:styleId="Heading2Char">
    <w:name w:val="Heading 2 Char"/>
    <w:basedOn w:val="DefaultParagraphFont"/>
    <w:link w:val="Heading2"/>
    <w:uiPriority w:val="9"/>
    <w:rsid w:val="008C162F"/>
    <w:rPr>
      <w:rFonts w:ascii="Times New Roman" w:eastAsia="Times New Roman" w:hAnsi="Times New Roman" w:cs="Times New Roman"/>
      <w:b/>
      <w:bCs/>
      <w:sz w:val="36"/>
      <w:szCs w:val="36"/>
      <w:lang w:bidi="hi-IN"/>
    </w:rPr>
  </w:style>
  <w:style w:type="paragraph" w:styleId="NormalWeb">
    <w:name w:val="Normal (Web)"/>
    <w:basedOn w:val="Normal"/>
    <w:uiPriority w:val="99"/>
    <w:semiHidden/>
    <w:unhideWhenUsed/>
    <w:rsid w:val="008C162F"/>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8C162F"/>
    <w:rPr>
      <w:b/>
      <w:bCs/>
    </w:rPr>
  </w:style>
  <w:style w:type="paragraph" w:styleId="ListParagraph">
    <w:name w:val="List Paragraph"/>
    <w:basedOn w:val="Normal"/>
    <w:uiPriority w:val="34"/>
    <w:qFormat/>
    <w:rsid w:val="00880B73"/>
    <w:pPr>
      <w:ind w:left="720"/>
      <w:contextualSpacing/>
    </w:pPr>
  </w:style>
  <w:style w:type="paragraph" w:styleId="BalloonText">
    <w:name w:val="Balloon Text"/>
    <w:basedOn w:val="Normal"/>
    <w:link w:val="BalloonTextChar"/>
    <w:uiPriority w:val="99"/>
    <w:semiHidden/>
    <w:unhideWhenUsed/>
    <w:rsid w:val="00306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C42"/>
    <w:rPr>
      <w:rFonts w:ascii="Tahoma" w:hAnsi="Tahoma" w:cs="Tahoma"/>
      <w:sz w:val="16"/>
      <w:szCs w:val="16"/>
    </w:rPr>
  </w:style>
  <w:style w:type="paragraph" w:styleId="Header">
    <w:name w:val="header"/>
    <w:basedOn w:val="Normal"/>
    <w:link w:val="HeaderChar"/>
    <w:uiPriority w:val="99"/>
    <w:semiHidden/>
    <w:unhideWhenUsed/>
    <w:rsid w:val="00C7388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388C"/>
  </w:style>
  <w:style w:type="paragraph" w:styleId="Footer">
    <w:name w:val="footer"/>
    <w:basedOn w:val="Normal"/>
    <w:link w:val="FooterChar"/>
    <w:uiPriority w:val="99"/>
    <w:semiHidden/>
    <w:unhideWhenUsed/>
    <w:rsid w:val="00C7388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7388C"/>
  </w:style>
  <w:style w:type="paragraph" w:styleId="FootnoteText">
    <w:name w:val="footnote text"/>
    <w:basedOn w:val="Normal"/>
    <w:link w:val="FootnoteTextChar"/>
    <w:uiPriority w:val="99"/>
    <w:semiHidden/>
    <w:unhideWhenUsed/>
    <w:rsid w:val="00DF1E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F1E1A"/>
    <w:rPr>
      <w:sz w:val="20"/>
      <w:szCs w:val="20"/>
    </w:rPr>
  </w:style>
  <w:style w:type="character" w:styleId="FootnoteReference">
    <w:name w:val="footnote reference"/>
    <w:basedOn w:val="DefaultParagraphFont"/>
    <w:uiPriority w:val="99"/>
    <w:semiHidden/>
    <w:unhideWhenUsed/>
    <w:rsid w:val="00DF1E1A"/>
    <w:rPr>
      <w:vertAlign w:val="superscript"/>
    </w:rPr>
  </w:style>
  <w:style w:type="character" w:styleId="Hyperlink">
    <w:name w:val="Hyperlink"/>
    <w:basedOn w:val="DefaultParagraphFont"/>
    <w:uiPriority w:val="99"/>
    <w:unhideWhenUsed/>
    <w:rsid w:val="007540B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48082456">
      <w:bodyDiv w:val="1"/>
      <w:marLeft w:val="0"/>
      <w:marRight w:val="0"/>
      <w:marTop w:val="0"/>
      <w:marBottom w:val="0"/>
      <w:divBdr>
        <w:top w:val="none" w:sz="0" w:space="0" w:color="auto"/>
        <w:left w:val="none" w:sz="0" w:space="0" w:color="auto"/>
        <w:bottom w:val="none" w:sz="0" w:space="0" w:color="auto"/>
        <w:right w:val="none" w:sz="0" w:space="0" w:color="auto"/>
      </w:divBdr>
    </w:div>
    <w:div w:id="357705825">
      <w:bodyDiv w:val="1"/>
      <w:marLeft w:val="0"/>
      <w:marRight w:val="0"/>
      <w:marTop w:val="0"/>
      <w:marBottom w:val="0"/>
      <w:divBdr>
        <w:top w:val="none" w:sz="0" w:space="0" w:color="auto"/>
        <w:left w:val="none" w:sz="0" w:space="0" w:color="auto"/>
        <w:bottom w:val="none" w:sz="0" w:space="0" w:color="auto"/>
        <w:right w:val="none" w:sz="0" w:space="0" w:color="auto"/>
      </w:divBdr>
    </w:div>
    <w:div w:id="508645817">
      <w:bodyDiv w:val="1"/>
      <w:marLeft w:val="0"/>
      <w:marRight w:val="0"/>
      <w:marTop w:val="0"/>
      <w:marBottom w:val="0"/>
      <w:divBdr>
        <w:top w:val="none" w:sz="0" w:space="0" w:color="auto"/>
        <w:left w:val="none" w:sz="0" w:space="0" w:color="auto"/>
        <w:bottom w:val="none" w:sz="0" w:space="0" w:color="auto"/>
        <w:right w:val="none" w:sz="0" w:space="0" w:color="auto"/>
      </w:divBdr>
    </w:div>
    <w:div w:id="520704788">
      <w:bodyDiv w:val="1"/>
      <w:marLeft w:val="0"/>
      <w:marRight w:val="0"/>
      <w:marTop w:val="0"/>
      <w:marBottom w:val="0"/>
      <w:divBdr>
        <w:top w:val="none" w:sz="0" w:space="0" w:color="auto"/>
        <w:left w:val="none" w:sz="0" w:space="0" w:color="auto"/>
        <w:bottom w:val="none" w:sz="0" w:space="0" w:color="auto"/>
        <w:right w:val="none" w:sz="0" w:space="0" w:color="auto"/>
      </w:divBdr>
    </w:div>
    <w:div w:id="671840996">
      <w:bodyDiv w:val="1"/>
      <w:marLeft w:val="0"/>
      <w:marRight w:val="0"/>
      <w:marTop w:val="0"/>
      <w:marBottom w:val="0"/>
      <w:divBdr>
        <w:top w:val="none" w:sz="0" w:space="0" w:color="auto"/>
        <w:left w:val="none" w:sz="0" w:space="0" w:color="auto"/>
        <w:bottom w:val="none" w:sz="0" w:space="0" w:color="auto"/>
        <w:right w:val="none" w:sz="0" w:space="0" w:color="auto"/>
      </w:divBdr>
    </w:div>
    <w:div w:id="747771018">
      <w:bodyDiv w:val="1"/>
      <w:marLeft w:val="0"/>
      <w:marRight w:val="0"/>
      <w:marTop w:val="0"/>
      <w:marBottom w:val="0"/>
      <w:divBdr>
        <w:top w:val="none" w:sz="0" w:space="0" w:color="auto"/>
        <w:left w:val="none" w:sz="0" w:space="0" w:color="auto"/>
        <w:bottom w:val="none" w:sz="0" w:space="0" w:color="auto"/>
        <w:right w:val="none" w:sz="0" w:space="0" w:color="auto"/>
      </w:divBdr>
    </w:div>
    <w:div w:id="1033379843">
      <w:bodyDiv w:val="1"/>
      <w:marLeft w:val="0"/>
      <w:marRight w:val="0"/>
      <w:marTop w:val="0"/>
      <w:marBottom w:val="0"/>
      <w:divBdr>
        <w:top w:val="none" w:sz="0" w:space="0" w:color="auto"/>
        <w:left w:val="none" w:sz="0" w:space="0" w:color="auto"/>
        <w:bottom w:val="none" w:sz="0" w:space="0" w:color="auto"/>
        <w:right w:val="none" w:sz="0" w:space="0" w:color="auto"/>
      </w:divBdr>
    </w:div>
    <w:div w:id="1160922522">
      <w:bodyDiv w:val="1"/>
      <w:marLeft w:val="0"/>
      <w:marRight w:val="0"/>
      <w:marTop w:val="0"/>
      <w:marBottom w:val="0"/>
      <w:divBdr>
        <w:top w:val="none" w:sz="0" w:space="0" w:color="auto"/>
        <w:left w:val="none" w:sz="0" w:space="0" w:color="auto"/>
        <w:bottom w:val="none" w:sz="0" w:space="0" w:color="auto"/>
        <w:right w:val="none" w:sz="0" w:space="0" w:color="auto"/>
      </w:divBdr>
    </w:div>
    <w:div w:id="1177305094">
      <w:bodyDiv w:val="1"/>
      <w:marLeft w:val="0"/>
      <w:marRight w:val="0"/>
      <w:marTop w:val="0"/>
      <w:marBottom w:val="0"/>
      <w:divBdr>
        <w:top w:val="none" w:sz="0" w:space="0" w:color="auto"/>
        <w:left w:val="none" w:sz="0" w:space="0" w:color="auto"/>
        <w:bottom w:val="none" w:sz="0" w:space="0" w:color="auto"/>
        <w:right w:val="none" w:sz="0" w:space="0" w:color="auto"/>
      </w:divBdr>
    </w:div>
    <w:div w:id="1357730867">
      <w:bodyDiv w:val="1"/>
      <w:marLeft w:val="0"/>
      <w:marRight w:val="0"/>
      <w:marTop w:val="0"/>
      <w:marBottom w:val="0"/>
      <w:divBdr>
        <w:top w:val="none" w:sz="0" w:space="0" w:color="auto"/>
        <w:left w:val="none" w:sz="0" w:space="0" w:color="auto"/>
        <w:bottom w:val="none" w:sz="0" w:space="0" w:color="auto"/>
        <w:right w:val="none" w:sz="0" w:space="0" w:color="auto"/>
      </w:divBdr>
    </w:div>
    <w:div w:id="1383215225">
      <w:bodyDiv w:val="1"/>
      <w:marLeft w:val="0"/>
      <w:marRight w:val="0"/>
      <w:marTop w:val="0"/>
      <w:marBottom w:val="0"/>
      <w:divBdr>
        <w:top w:val="none" w:sz="0" w:space="0" w:color="auto"/>
        <w:left w:val="none" w:sz="0" w:space="0" w:color="auto"/>
        <w:bottom w:val="none" w:sz="0" w:space="0" w:color="auto"/>
        <w:right w:val="none" w:sz="0" w:space="0" w:color="auto"/>
      </w:divBdr>
    </w:div>
    <w:div w:id="1441223932">
      <w:bodyDiv w:val="1"/>
      <w:marLeft w:val="0"/>
      <w:marRight w:val="0"/>
      <w:marTop w:val="0"/>
      <w:marBottom w:val="0"/>
      <w:divBdr>
        <w:top w:val="none" w:sz="0" w:space="0" w:color="auto"/>
        <w:left w:val="none" w:sz="0" w:space="0" w:color="auto"/>
        <w:bottom w:val="none" w:sz="0" w:space="0" w:color="auto"/>
        <w:right w:val="none" w:sz="0" w:space="0" w:color="auto"/>
      </w:divBdr>
    </w:div>
    <w:div w:id="1491867160">
      <w:bodyDiv w:val="1"/>
      <w:marLeft w:val="0"/>
      <w:marRight w:val="0"/>
      <w:marTop w:val="0"/>
      <w:marBottom w:val="0"/>
      <w:divBdr>
        <w:top w:val="none" w:sz="0" w:space="0" w:color="auto"/>
        <w:left w:val="none" w:sz="0" w:space="0" w:color="auto"/>
        <w:bottom w:val="none" w:sz="0" w:space="0" w:color="auto"/>
        <w:right w:val="none" w:sz="0" w:space="0" w:color="auto"/>
      </w:divBdr>
    </w:div>
    <w:div w:id="1732996020">
      <w:bodyDiv w:val="1"/>
      <w:marLeft w:val="0"/>
      <w:marRight w:val="0"/>
      <w:marTop w:val="0"/>
      <w:marBottom w:val="0"/>
      <w:divBdr>
        <w:top w:val="none" w:sz="0" w:space="0" w:color="auto"/>
        <w:left w:val="none" w:sz="0" w:space="0" w:color="auto"/>
        <w:bottom w:val="none" w:sz="0" w:space="0" w:color="auto"/>
        <w:right w:val="none" w:sz="0" w:space="0" w:color="auto"/>
      </w:divBdr>
    </w:div>
    <w:div w:id="19779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chart" Target="charts/chart2.xml"/><Relationship Id="rId18" Type="http://schemas.openxmlformats.org/officeDocument/2006/relationships/hyperlink" Target="https://cooperation.gov.in/ministry-cooper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hyperlink" Target="https://nafcub.org/management.php" TargetMode="External"/><Relationship Id="rId2" Type="http://schemas.openxmlformats.org/officeDocument/2006/relationships/numbering" Target="numbering.xml"/><Relationship Id="rId16" Type="http://schemas.openxmlformats.org/officeDocument/2006/relationships/hyperlink" Target="http://www.jstor.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yperlink" Target="http://www.nabard.org" TargetMode="External"/><Relationship Id="rId10" Type="http://schemas.openxmlformats.org/officeDocument/2006/relationships/diagramQuickStyle" Target="diagrams/quickStyle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www.rbi.org.i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C:\Users\pc\Desktop\UCB\data\Table%2010%20-%20Distribution%20of%20Urban%20Co-operative%20Banks%20based%20on%20State,%20Union%20Territory%20and%20Regi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c\Desktop\UCB\data\Table%203%20-%20Advances%20of%20Urban%20Co-operative%20Banks%20to%20Priority%20Sector%20and%20Weaker%20Sec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36"/>
  <c:chart>
    <c:autoTitleDeleted val="1"/>
    <c:plotArea>
      <c:layout/>
      <c:barChart>
        <c:barDir val="col"/>
        <c:grouping val="clustered"/>
        <c:ser>
          <c:idx val="0"/>
          <c:order val="0"/>
          <c:dLbls>
            <c:dLblPos val="inEnd"/>
            <c:showVal val="1"/>
          </c:dLbls>
          <c:cat>
            <c:strRef>
              <c:f>Sheet3!$A$2:$A$7</c:f>
              <c:strCache>
                <c:ptCount val="6"/>
                <c:pt idx="0">
                  <c:v>Northern Region Total</c:v>
                </c:pt>
                <c:pt idx="1">
                  <c:v>North Eastern Region Total</c:v>
                </c:pt>
                <c:pt idx="2">
                  <c:v>Eastern Region Total</c:v>
                </c:pt>
                <c:pt idx="3">
                  <c:v>Central Region Total</c:v>
                </c:pt>
                <c:pt idx="4">
                  <c:v>Western Region Total</c:v>
                </c:pt>
                <c:pt idx="5">
                  <c:v>Southern Region Total</c:v>
                </c:pt>
              </c:strCache>
            </c:strRef>
          </c:cat>
          <c:val>
            <c:numRef>
              <c:f>Sheet3!$B$2:$B$7</c:f>
              <c:numCache>
                <c:formatCode>#,##0</c:formatCode>
                <c:ptCount val="6"/>
                <c:pt idx="0">
                  <c:v>105</c:v>
                </c:pt>
                <c:pt idx="1">
                  <c:v>0</c:v>
                </c:pt>
                <c:pt idx="2">
                  <c:v>30</c:v>
                </c:pt>
                <c:pt idx="3">
                  <c:v>143</c:v>
                </c:pt>
                <c:pt idx="4">
                  <c:v>4502</c:v>
                </c:pt>
                <c:pt idx="5">
                  <c:v>565</c:v>
                </c:pt>
              </c:numCache>
            </c:numRef>
          </c:val>
        </c:ser>
        <c:gapWidth val="75"/>
        <c:overlap val="40"/>
        <c:axId val="75855744"/>
        <c:axId val="75857280"/>
      </c:barChart>
      <c:catAx>
        <c:axId val="75855744"/>
        <c:scaling>
          <c:orientation val="minMax"/>
        </c:scaling>
        <c:axPos val="b"/>
        <c:majorTickMark val="none"/>
        <c:tickLblPos val="nextTo"/>
        <c:crossAx val="75857280"/>
        <c:crosses val="autoZero"/>
        <c:auto val="1"/>
        <c:lblAlgn val="ctr"/>
        <c:lblOffset val="100"/>
      </c:catAx>
      <c:valAx>
        <c:axId val="75857280"/>
        <c:scaling>
          <c:orientation val="minMax"/>
        </c:scaling>
        <c:axPos val="l"/>
        <c:majorGridlines/>
        <c:numFmt formatCode="#,##0" sourceLinked="1"/>
        <c:majorTickMark val="none"/>
        <c:tickLblPos val="nextTo"/>
        <c:crossAx val="75855744"/>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10"/>
  <c:chart>
    <c:autoTitleDeleted val="1"/>
    <c:view3D>
      <c:rotX val="30"/>
      <c:perspective val="30"/>
    </c:view3D>
    <c:plotArea>
      <c:layout>
        <c:manualLayout>
          <c:layoutTarget val="inner"/>
          <c:xMode val="edge"/>
          <c:yMode val="edge"/>
          <c:x val="5.8877515310586187E-2"/>
          <c:y val="9.4907407407407468E-2"/>
          <c:w val="0.60484361329834113"/>
          <c:h val="0.87962962962963243"/>
        </c:manualLayout>
      </c:layout>
      <c:pie3DChart>
        <c:varyColors val="1"/>
        <c:ser>
          <c:idx val="0"/>
          <c:order val="0"/>
          <c:dLbls>
            <c:dLbl>
              <c:idx val="0"/>
              <c:tx>
                <c:rich>
                  <a:bodyPr/>
                  <a:lstStyle/>
                  <a:p>
                    <a:r>
                      <a:rPr lang="en-US"/>
                      <a:t>34.27%</a:t>
                    </a:r>
                  </a:p>
                </c:rich>
              </c:tx>
              <c:showPercent val="1"/>
            </c:dLbl>
            <c:dLbl>
              <c:idx val="1"/>
              <c:tx>
                <c:rich>
                  <a:bodyPr/>
                  <a:lstStyle/>
                  <a:p>
                    <a:r>
                      <a:rPr lang="en-US"/>
                      <a:t>8.52 </a:t>
                    </a:r>
                    <a:r>
                      <a:rPr lang="en-US" sz="1000" b="0" i="0" u="none" strike="noStrike" baseline="0"/>
                      <a:t>%</a:t>
                    </a:r>
                    <a:endParaRPr lang="en-US"/>
                  </a:p>
                </c:rich>
              </c:tx>
              <c:showPercent val="1"/>
            </c:dLbl>
            <c:dLbl>
              <c:idx val="2"/>
              <c:tx>
                <c:rich>
                  <a:bodyPr/>
                  <a:lstStyle/>
                  <a:p>
                    <a:r>
                      <a:rPr lang="en-US"/>
                      <a:t>6.36%</a:t>
                    </a:r>
                  </a:p>
                </c:rich>
              </c:tx>
              <c:showPercent val="1"/>
            </c:dLbl>
            <c:dLbl>
              <c:idx val="3"/>
              <c:tx>
                <c:rich>
                  <a:bodyPr/>
                  <a:lstStyle/>
                  <a:p>
                    <a:r>
                      <a:rPr lang="en-US"/>
                      <a:t>4.20%</a:t>
                    </a:r>
                  </a:p>
                </c:rich>
              </c:tx>
              <c:showPercent val="1"/>
            </c:dLbl>
            <c:dLbl>
              <c:idx val="4"/>
              <c:tx>
                <c:rich>
                  <a:bodyPr/>
                  <a:lstStyle/>
                  <a:p>
                    <a:r>
                      <a:rPr lang="en-US"/>
                      <a:t>0.84%</a:t>
                    </a:r>
                  </a:p>
                </c:rich>
              </c:tx>
              <c:showPercent val="1"/>
            </c:dLbl>
            <c:showPercent val="1"/>
          </c:dLbls>
          <c:cat>
            <c:strRef>
              <c:f>Sheet4!$A$5:$A$9</c:f>
              <c:strCache>
                <c:ptCount val="5"/>
                <c:pt idx="0">
                  <c:v>Micro and Small Enterprises </c:v>
                </c:pt>
                <c:pt idx="1">
                  <c:v>Housing</c:v>
                </c:pt>
                <c:pt idx="2">
                  <c:v>Others' category under Priority Sector</c:v>
                </c:pt>
                <c:pt idx="3">
                  <c:v>Agriculture </c:v>
                </c:pt>
                <c:pt idx="4">
                  <c:v>Education</c:v>
                </c:pt>
              </c:strCache>
            </c:strRef>
          </c:cat>
          <c:val>
            <c:numRef>
              <c:f>Sheet4!$B$5:$B$9</c:f>
              <c:numCache>
                <c:formatCode>_(* #,##0.00_);_(* \(#,##0.00\);_(* "-"??_);_(@_)</c:formatCode>
                <c:ptCount val="5"/>
                <c:pt idx="0">
                  <c:v>107846.55879400008</c:v>
                </c:pt>
                <c:pt idx="1">
                  <c:v>26803.371024199958</c:v>
                </c:pt>
                <c:pt idx="2">
                  <c:v>20012.417352199991</c:v>
                </c:pt>
                <c:pt idx="3">
                  <c:v>13212.809011000005</c:v>
                </c:pt>
                <c:pt idx="4">
                  <c:v>2628.7669390999977</c:v>
                </c:pt>
              </c:numCache>
            </c:numRef>
          </c:val>
        </c:ser>
        <c:ser>
          <c:idx val="1"/>
          <c:order val="1"/>
          <c:dLbls>
            <c:showPercent val="1"/>
          </c:dLbls>
          <c:cat>
            <c:strRef>
              <c:f>Sheet4!$A$5:$A$9</c:f>
              <c:strCache>
                <c:ptCount val="5"/>
                <c:pt idx="0">
                  <c:v>Micro and Small Enterprises </c:v>
                </c:pt>
                <c:pt idx="1">
                  <c:v>Housing</c:v>
                </c:pt>
                <c:pt idx="2">
                  <c:v>Others' category under Priority Sector</c:v>
                </c:pt>
                <c:pt idx="3">
                  <c:v>Agriculture </c:v>
                </c:pt>
                <c:pt idx="4">
                  <c:v>Education</c:v>
                </c:pt>
              </c:strCache>
            </c:strRef>
          </c:cat>
          <c:val>
            <c:numRef>
              <c:f>Sheet4!$C$5:$C$9</c:f>
              <c:numCache>
                <c:formatCode>0.00</c:formatCode>
                <c:ptCount val="5"/>
                <c:pt idx="0">
                  <c:v>34.265182719067113</c:v>
                </c:pt>
                <c:pt idx="1">
                  <c:v>8.516010301130299</c:v>
                </c:pt>
                <c:pt idx="2">
                  <c:v>6.358377540197508</c:v>
                </c:pt>
                <c:pt idx="3">
                  <c:v>4.1979950037982787</c:v>
                </c:pt>
                <c:pt idx="4">
                  <c:v>0.83521607459129732</c:v>
                </c:pt>
              </c:numCache>
            </c:numRef>
          </c:val>
        </c:ser>
        <c:dLbls>
          <c:showPercent val="1"/>
        </c:dLbls>
      </c:pie3DChart>
    </c:plotArea>
    <c:legend>
      <c:legendPos val="r"/>
    </c:legend>
    <c:plotVisOnly val="1"/>
  </c:chart>
  <c:externalData r:id="rId1"/>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475DCB-E191-47A8-A1F1-BCB595957E99}" type="doc">
      <dgm:prSet loTypeId="urn:microsoft.com/office/officeart/2005/8/layout/hierarchy1" loCatId="hierarchy" qsTypeId="urn:microsoft.com/office/officeart/2005/8/quickstyle/simple3" qsCatId="simple" csTypeId="urn:microsoft.com/office/officeart/2005/8/colors/colorful5" csCatId="colorful" phldr="1"/>
      <dgm:spPr/>
      <dgm:t>
        <a:bodyPr/>
        <a:lstStyle/>
        <a:p>
          <a:endParaRPr lang="en-US"/>
        </a:p>
      </dgm:t>
    </dgm:pt>
    <dgm:pt modelId="{AF8B2FDF-054D-447F-9D35-00E9720A9751}">
      <dgm:prSet phldrT="[Text]"/>
      <dgm:spPr/>
      <dgm:t>
        <a:bodyPr/>
        <a:lstStyle/>
        <a:p>
          <a:r>
            <a:rPr lang="en-US"/>
            <a:t>Urban Cooperative Banks (1514)</a:t>
          </a:r>
        </a:p>
      </dgm:t>
    </dgm:pt>
    <dgm:pt modelId="{CEBF6A65-3B8D-4360-9933-B0E0A57A1FC2}" type="parTrans" cxnId="{76CF15F0-5985-4B4F-AB4C-211017A59995}">
      <dgm:prSet/>
      <dgm:spPr/>
      <dgm:t>
        <a:bodyPr/>
        <a:lstStyle/>
        <a:p>
          <a:endParaRPr lang="en-US"/>
        </a:p>
      </dgm:t>
    </dgm:pt>
    <dgm:pt modelId="{00711876-3635-45A1-BA36-C015E69BA41E}" type="sibTrans" cxnId="{76CF15F0-5985-4B4F-AB4C-211017A59995}">
      <dgm:prSet/>
      <dgm:spPr/>
      <dgm:t>
        <a:bodyPr/>
        <a:lstStyle/>
        <a:p>
          <a:endParaRPr lang="en-US"/>
        </a:p>
      </dgm:t>
    </dgm:pt>
    <dgm:pt modelId="{0807E015-762F-45BC-9CCD-AE352AAB2EB7}">
      <dgm:prSet phldrT="[Text]"/>
      <dgm:spPr/>
      <dgm:t>
        <a:bodyPr/>
        <a:lstStyle/>
        <a:p>
          <a:r>
            <a:rPr lang="en-US"/>
            <a:t>Scheduled UCBs (52)</a:t>
          </a:r>
        </a:p>
      </dgm:t>
    </dgm:pt>
    <dgm:pt modelId="{1B0768CD-14C3-4D73-9D33-5239FFBADCC8}" type="parTrans" cxnId="{78D7FEF1-0CEE-4B4A-A722-73DB693E64C7}">
      <dgm:prSet/>
      <dgm:spPr/>
      <dgm:t>
        <a:bodyPr/>
        <a:lstStyle/>
        <a:p>
          <a:endParaRPr lang="en-US"/>
        </a:p>
      </dgm:t>
    </dgm:pt>
    <dgm:pt modelId="{49F4A31E-4175-486F-A4CA-0AEF87196456}" type="sibTrans" cxnId="{78D7FEF1-0CEE-4B4A-A722-73DB693E64C7}">
      <dgm:prSet/>
      <dgm:spPr/>
      <dgm:t>
        <a:bodyPr/>
        <a:lstStyle/>
        <a:p>
          <a:endParaRPr lang="en-US"/>
        </a:p>
      </dgm:t>
    </dgm:pt>
    <dgm:pt modelId="{997131B8-D480-4BF4-AC9D-35B0845D808C}">
      <dgm:prSet phldrT="[Text]"/>
      <dgm:spPr/>
      <dgm:t>
        <a:bodyPr/>
        <a:lstStyle/>
        <a:p>
          <a:r>
            <a:rPr lang="en-US"/>
            <a:t>Multi-State Scheduled UCBs (33)</a:t>
          </a:r>
        </a:p>
      </dgm:t>
    </dgm:pt>
    <dgm:pt modelId="{DC954CD2-6FF0-42E8-A0F6-74455C1D8A82}" type="parTrans" cxnId="{5DA9C216-552E-48FA-B0DC-23D8530288EA}">
      <dgm:prSet/>
      <dgm:spPr/>
      <dgm:t>
        <a:bodyPr/>
        <a:lstStyle/>
        <a:p>
          <a:endParaRPr lang="en-US"/>
        </a:p>
      </dgm:t>
    </dgm:pt>
    <dgm:pt modelId="{9020B2EC-4CE3-473A-B730-9B93B848BCF6}" type="sibTrans" cxnId="{5DA9C216-552E-48FA-B0DC-23D8530288EA}">
      <dgm:prSet/>
      <dgm:spPr/>
      <dgm:t>
        <a:bodyPr/>
        <a:lstStyle/>
        <a:p>
          <a:endParaRPr lang="en-US"/>
        </a:p>
      </dgm:t>
    </dgm:pt>
    <dgm:pt modelId="{2AF4B928-2743-4220-8238-F2A74C91EDDF}">
      <dgm:prSet phldrT="[Text]"/>
      <dgm:spPr/>
      <dgm:t>
        <a:bodyPr/>
        <a:lstStyle/>
        <a:p>
          <a:r>
            <a:rPr lang="en-US"/>
            <a:t>Single- State Scheduled UCBs (19)</a:t>
          </a:r>
        </a:p>
      </dgm:t>
    </dgm:pt>
    <dgm:pt modelId="{188FECEC-647D-4CE6-80A5-DB89DB01571B}" type="parTrans" cxnId="{AF835342-27B9-408F-A263-F201A21D4106}">
      <dgm:prSet/>
      <dgm:spPr/>
      <dgm:t>
        <a:bodyPr/>
        <a:lstStyle/>
        <a:p>
          <a:endParaRPr lang="en-US"/>
        </a:p>
      </dgm:t>
    </dgm:pt>
    <dgm:pt modelId="{68A1BBA6-0DE4-4EDA-9F1C-109B2D3EA082}" type="sibTrans" cxnId="{AF835342-27B9-408F-A263-F201A21D4106}">
      <dgm:prSet/>
      <dgm:spPr/>
      <dgm:t>
        <a:bodyPr/>
        <a:lstStyle/>
        <a:p>
          <a:endParaRPr lang="en-US"/>
        </a:p>
      </dgm:t>
    </dgm:pt>
    <dgm:pt modelId="{807CB5BC-F62C-4003-BD15-88E11AEDAAB8}">
      <dgm:prSet phldrT="[Text]"/>
      <dgm:spPr/>
      <dgm:t>
        <a:bodyPr/>
        <a:lstStyle/>
        <a:p>
          <a:r>
            <a:rPr lang="en-US"/>
            <a:t>Non- Scheduled UCBs (1462)</a:t>
          </a:r>
        </a:p>
      </dgm:t>
    </dgm:pt>
    <dgm:pt modelId="{D24E0057-5ED1-4752-828B-C40377A44385}" type="parTrans" cxnId="{C436ADBE-3DFC-44FE-8A44-5E94B93827C0}">
      <dgm:prSet/>
      <dgm:spPr/>
      <dgm:t>
        <a:bodyPr/>
        <a:lstStyle/>
        <a:p>
          <a:endParaRPr lang="en-US"/>
        </a:p>
      </dgm:t>
    </dgm:pt>
    <dgm:pt modelId="{CA55360F-F374-401E-A510-A42988691BDE}" type="sibTrans" cxnId="{C436ADBE-3DFC-44FE-8A44-5E94B93827C0}">
      <dgm:prSet/>
      <dgm:spPr/>
      <dgm:t>
        <a:bodyPr/>
        <a:lstStyle/>
        <a:p>
          <a:endParaRPr lang="en-US"/>
        </a:p>
      </dgm:t>
    </dgm:pt>
    <dgm:pt modelId="{638A97FC-EFFC-4FA3-901E-5D4D82C92518}">
      <dgm:prSet phldrT="[Text]"/>
      <dgm:spPr/>
      <dgm:t>
        <a:bodyPr/>
        <a:lstStyle/>
        <a:p>
          <a:r>
            <a:rPr lang="en-US"/>
            <a:t>Multi-State Non-Scheduled UCBs (22)</a:t>
          </a:r>
        </a:p>
      </dgm:t>
    </dgm:pt>
    <dgm:pt modelId="{D1E69BE0-BD44-428C-9865-F551ECC908E4}" type="parTrans" cxnId="{6959EFBC-D263-4BB3-BF51-EA40166B7C33}">
      <dgm:prSet/>
      <dgm:spPr/>
      <dgm:t>
        <a:bodyPr/>
        <a:lstStyle/>
        <a:p>
          <a:endParaRPr lang="en-US"/>
        </a:p>
      </dgm:t>
    </dgm:pt>
    <dgm:pt modelId="{B1868067-D906-4B8C-98E0-6A51911BBDB1}" type="sibTrans" cxnId="{6959EFBC-D263-4BB3-BF51-EA40166B7C33}">
      <dgm:prSet/>
      <dgm:spPr/>
      <dgm:t>
        <a:bodyPr/>
        <a:lstStyle/>
        <a:p>
          <a:endParaRPr lang="en-US"/>
        </a:p>
      </dgm:t>
    </dgm:pt>
    <dgm:pt modelId="{27D25BB5-BE2E-4652-9D9C-313461D14FBD}">
      <dgm:prSet/>
      <dgm:spPr/>
      <dgm:t>
        <a:bodyPr/>
        <a:lstStyle/>
        <a:p>
          <a:r>
            <a:rPr lang="en-US"/>
            <a:t>Single-State Non-Scheduled UCBs (1440)</a:t>
          </a:r>
        </a:p>
      </dgm:t>
    </dgm:pt>
    <dgm:pt modelId="{24A733CB-EF27-4B5B-9452-EC1B555BCA2F}" type="parTrans" cxnId="{1FAE480A-9FD0-489B-B31F-4CE4CA1A7B5D}">
      <dgm:prSet/>
      <dgm:spPr/>
      <dgm:t>
        <a:bodyPr/>
        <a:lstStyle/>
        <a:p>
          <a:endParaRPr lang="en-US"/>
        </a:p>
      </dgm:t>
    </dgm:pt>
    <dgm:pt modelId="{432FA4EC-ACB2-42CD-A55E-0AEF8975A892}" type="sibTrans" cxnId="{1FAE480A-9FD0-489B-B31F-4CE4CA1A7B5D}">
      <dgm:prSet/>
      <dgm:spPr/>
      <dgm:t>
        <a:bodyPr/>
        <a:lstStyle/>
        <a:p>
          <a:endParaRPr lang="en-US"/>
        </a:p>
      </dgm:t>
    </dgm:pt>
    <dgm:pt modelId="{25ACBD95-CE9C-40DE-8675-0D5457AA1B6D}" type="pres">
      <dgm:prSet presAssocID="{22475DCB-E191-47A8-A1F1-BCB595957E99}" presName="hierChild1" presStyleCnt="0">
        <dgm:presLayoutVars>
          <dgm:chPref val="1"/>
          <dgm:dir/>
          <dgm:animOne val="branch"/>
          <dgm:animLvl val="lvl"/>
          <dgm:resizeHandles/>
        </dgm:presLayoutVars>
      </dgm:prSet>
      <dgm:spPr/>
      <dgm:t>
        <a:bodyPr/>
        <a:lstStyle/>
        <a:p>
          <a:endParaRPr lang="en-US"/>
        </a:p>
      </dgm:t>
    </dgm:pt>
    <dgm:pt modelId="{E0FB1793-F3FE-4A20-AA4A-C22FA52188BB}" type="pres">
      <dgm:prSet presAssocID="{AF8B2FDF-054D-447F-9D35-00E9720A9751}" presName="hierRoot1" presStyleCnt="0"/>
      <dgm:spPr/>
    </dgm:pt>
    <dgm:pt modelId="{3C5E2A56-19C6-4E98-8CF7-90B38D043734}" type="pres">
      <dgm:prSet presAssocID="{AF8B2FDF-054D-447F-9D35-00E9720A9751}" presName="composite" presStyleCnt="0"/>
      <dgm:spPr/>
    </dgm:pt>
    <dgm:pt modelId="{8403401F-DCCA-4C33-93AF-366B5BB3FA79}" type="pres">
      <dgm:prSet presAssocID="{AF8B2FDF-054D-447F-9D35-00E9720A9751}" presName="background" presStyleLbl="node0" presStyleIdx="0" presStyleCnt="1"/>
      <dgm:spPr/>
    </dgm:pt>
    <dgm:pt modelId="{519A842A-F0E1-40DB-AC43-3B7EEDC5F532}" type="pres">
      <dgm:prSet presAssocID="{AF8B2FDF-054D-447F-9D35-00E9720A9751}" presName="text" presStyleLbl="fgAcc0" presStyleIdx="0" presStyleCnt="1">
        <dgm:presLayoutVars>
          <dgm:chPref val="3"/>
        </dgm:presLayoutVars>
      </dgm:prSet>
      <dgm:spPr/>
      <dgm:t>
        <a:bodyPr/>
        <a:lstStyle/>
        <a:p>
          <a:endParaRPr lang="en-US"/>
        </a:p>
      </dgm:t>
    </dgm:pt>
    <dgm:pt modelId="{A2782D71-AF07-479B-B8A8-D56CEFE06575}" type="pres">
      <dgm:prSet presAssocID="{AF8B2FDF-054D-447F-9D35-00E9720A9751}" presName="hierChild2" presStyleCnt="0"/>
      <dgm:spPr/>
    </dgm:pt>
    <dgm:pt modelId="{9CCC0A3D-9BB0-421D-BB1D-E96BC70D4511}" type="pres">
      <dgm:prSet presAssocID="{1B0768CD-14C3-4D73-9D33-5239FFBADCC8}" presName="Name10" presStyleLbl="parChTrans1D2" presStyleIdx="0" presStyleCnt="2"/>
      <dgm:spPr/>
      <dgm:t>
        <a:bodyPr/>
        <a:lstStyle/>
        <a:p>
          <a:endParaRPr lang="en-US"/>
        </a:p>
      </dgm:t>
    </dgm:pt>
    <dgm:pt modelId="{7E8BAE0D-8B27-4D1E-8F2E-9197DFFCB18F}" type="pres">
      <dgm:prSet presAssocID="{0807E015-762F-45BC-9CCD-AE352AAB2EB7}" presName="hierRoot2" presStyleCnt="0"/>
      <dgm:spPr/>
    </dgm:pt>
    <dgm:pt modelId="{D62EBC4A-43CC-41D5-B3A6-2E30003A1179}" type="pres">
      <dgm:prSet presAssocID="{0807E015-762F-45BC-9CCD-AE352AAB2EB7}" presName="composite2" presStyleCnt="0"/>
      <dgm:spPr/>
    </dgm:pt>
    <dgm:pt modelId="{2DC5D764-6170-42B4-A41D-FE8F8FF9DE39}" type="pres">
      <dgm:prSet presAssocID="{0807E015-762F-45BC-9CCD-AE352AAB2EB7}" presName="background2" presStyleLbl="node2" presStyleIdx="0" presStyleCnt="2"/>
      <dgm:spPr/>
    </dgm:pt>
    <dgm:pt modelId="{AEB18652-A8B8-4C1C-85F1-4BCC285E0654}" type="pres">
      <dgm:prSet presAssocID="{0807E015-762F-45BC-9CCD-AE352AAB2EB7}" presName="text2" presStyleLbl="fgAcc2" presStyleIdx="0" presStyleCnt="2">
        <dgm:presLayoutVars>
          <dgm:chPref val="3"/>
        </dgm:presLayoutVars>
      </dgm:prSet>
      <dgm:spPr/>
      <dgm:t>
        <a:bodyPr/>
        <a:lstStyle/>
        <a:p>
          <a:endParaRPr lang="en-US"/>
        </a:p>
      </dgm:t>
    </dgm:pt>
    <dgm:pt modelId="{28A985F9-9190-4C26-8369-F778F222E202}" type="pres">
      <dgm:prSet presAssocID="{0807E015-762F-45BC-9CCD-AE352AAB2EB7}" presName="hierChild3" presStyleCnt="0"/>
      <dgm:spPr/>
    </dgm:pt>
    <dgm:pt modelId="{57146BEA-3869-47E2-BADA-7D593CD41E01}" type="pres">
      <dgm:prSet presAssocID="{DC954CD2-6FF0-42E8-A0F6-74455C1D8A82}" presName="Name17" presStyleLbl="parChTrans1D3" presStyleIdx="0" presStyleCnt="4"/>
      <dgm:spPr/>
      <dgm:t>
        <a:bodyPr/>
        <a:lstStyle/>
        <a:p>
          <a:endParaRPr lang="en-US"/>
        </a:p>
      </dgm:t>
    </dgm:pt>
    <dgm:pt modelId="{790AD0EB-A766-4545-9426-A367A5306D92}" type="pres">
      <dgm:prSet presAssocID="{997131B8-D480-4BF4-AC9D-35B0845D808C}" presName="hierRoot3" presStyleCnt="0"/>
      <dgm:spPr/>
    </dgm:pt>
    <dgm:pt modelId="{F76D9DF4-4208-4958-9632-B61DCB1E4680}" type="pres">
      <dgm:prSet presAssocID="{997131B8-D480-4BF4-AC9D-35B0845D808C}" presName="composite3" presStyleCnt="0"/>
      <dgm:spPr/>
    </dgm:pt>
    <dgm:pt modelId="{472E1688-5D25-4F18-825A-93FEC0DB9C06}" type="pres">
      <dgm:prSet presAssocID="{997131B8-D480-4BF4-AC9D-35B0845D808C}" presName="background3" presStyleLbl="node3" presStyleIdx="0" presStyleCnt="4"/>
      <dgm:spPr/>
    </dgm:pt>
    <dgm:pt modelId="{4F5F3619-7096-4903-9226-22A6E422500A}" type="pres">
      <dgm:prSet presAssocID="{997131B8-D480-4BF4-AC9D-35B0845D808C}" presName="text3" presStyleLbl="fgAcc3" presStyleIdx="0" presStyleCnt="4">
        <dgm:presLayoutVars>
          <dgm:chPref val="3"/>
        </dgm:presLayoutVars>
      </dgm:prSet>
      <dgm:spPr/>
      <dgm:t>
        <a:bodyPr/>
        <a:lstStyle/>
        <a:p>
          <a:endParaRPr lang="en-US"/>
        </a:p>
      </dgm:t>
    </dgm:pt>
    <dgm:pt modelId="{8A8E4B18-775E-4355-AD4D-EF0862EBF761}" type="pres">
      <dgm:prSet presAssocID="{997131B8-D480-4BF4-AC9D-35B0845D808C}" presName="hierChild4" presStyleCnt="0"/>
      <dgm:spPr/>
    </dgm:pt>
    <dgm:pt modelId="{CBB9EB3B-A696-4A61-950A-DC563EF8B06B}" type="pres">
      <dgm:prSet presAssocID="{188FECEC-647D-4CE6-80A5-DB89DB01571B}" presName="Name17" presStyleLbl="parChTrans1D3" presStyleIdx="1" presStyleCnt="4"/>
      <dgm:spPr/>
      <dgm:t>
        <a:bodyPr/>
        <a:lstStyle/>
        <a:p>
          <a:endParaRPr lang="en-US"/>
        </a:p>
      </dgm:t>
    </dgm:pt>
    <dgm:pt modelId="{CEEC18D7-EB4E-4182-B493-DFD3C358BF57}" type="pres">
      <dgm:prSet presAssocID="{2AF4B928-2743-4220-8238-F2A74C91EDDF}" presName="hierRoot3" presStyleCnt="0"/>
      <dgm:spPr/>
    </dgm:pt>
    <dgm:pt modelId="{1E571DF8-C4D2-49F8-9F4E-AA66C69E4D0F}" type="pres">
      <dgm:prSet presAssocID="{2AF4B928-2743-4220-8238-F2A74C91EDDF}" presName="composite3" presStyleCnt="0"/>
      <dgm:spPr/>
    </dgm:pt>
    <dgm:pt modelId="{D6713176-26B5-4142-B484-C572B9F2A4F6}" type="pres">
      <dgm:prSet presAssocID="{2AF4B928-2743-4220-8238-F2A74C91EDDF}" presName="background3" presStyleLbl="node3" presStyleIdx="1" presStyleCnt="4"/>
      <dgm:spPr/>
    </dgm:pt>
    <dgm:pt modelId="{BD28D01E-E521-4D27-ADF6-39A7DCD89AE5}" type="pres">
      <dgm:prSet presAssocID="{2AF4B928-2743-4220-8238-F2A74C91EDDF}" presName="text3" presStyleLbl="fgAcc3" presStyleIdx="1" presStyleCnt="4">
        <dgm:presLayoutVars>
          <dgm:chPref val="3"/>
        </dgm:presLayoutVars>
      </dgm:prSet>
      <dgm:spPr/>
      <dgm:t>
        <a:bodyPr/>
        <a:lstStyle/>
        <a:p>
          <a:endParaRPr lang="en-US"/>
        </a:p>
      </dgm:t>
    </dgm:pt>
    <dgm:pt modelId="{3CACA664-7E1F-47EF-910F-C95ABB0AAEB6}" type="pres">
      <dgm:prSet presAssocID="{2AF4B928-2743-4220-8238-F2A74C91EDDF}" presName="hierChild4" presStyleCnt="0"/>
      <dgm:spPr/>
    </dgm:pt>
    <dgm:pt modelId="{D0DC916E-BC56-4921-810D-24E62F1C8217}" type="pres">
      <dgm:prSet presAssocID="{D24E0057-5ED1-4752-828B-C40377A44385}" presName="Name10" presStyleLbl="parChTrans1D2" presStyleIdx="1" presStyleCnt="2"/>
      <dgm:spPr/>
      <dgm:t>
        <a:bodyPr/>
        <a:lstStyle/>
        <a:p>
          <a:endParaRPr lang="en-US"/>
        </a:p>
      </dgm:t>
    </dgm:pt>
    <dgm:pt modelId="{4999AC6D-F1B5-4904-B71D-5989E4C80449}" type="pres">
      <dgm:prSet presAssocID="{807CB5BC-F62C-4003-BD15-88E11AEDAAB8}" presName="hierRoot2" presStyleCnt="0"/>
      <dgm:spPr/>
    </dgm:pt>
    <dgm:pt modelId="{ABD8AD8A-D247-40C0-9DE4-4944D9B5E4AE}" type="pres">
      <dgm:prSet presAssocID="{807CB5BC-F62C-4003-BD15-88E11AEDAAB8}" presName="composite2" presStyleCnt="0"/>
      <dgm:spPr/>
    </dgm:pt>
    <dgm:pt modelId="{B7976724-863B-4170-BC86-52DF0ABE019F}" type="pres">
      <dgm:prSet presAssocID="{807CB5BC-F62C-4003-BD15-88E11AEDAAB8}" presName="background2" presStyleLbl="node2" presStyleIdx="1" presStyleCnt="2"/>
      <dgm:spPr/>
    </dgm:pt>
    <dgm:pt modelId="{AB89C75D-976F-44CF-AA53-8A7781184284}" type="pres">
      <dgm:prSet presAssocID="{807CB5BC-F62C-4003-BD15-88E11AEDAAB8}" presName="text2" presStyleLbl="fgAcc2" presStyleIdx="1" presStyleCnt="2">
        <dgm:presLayoutVars>
          <dgm:chPref val="3"/>
        </dgm:presLayoutVars>
      </dgm:prSet>
      <dgm:spPr/>
      <dgm:t>
        <a:bodyPr/>
        <a:lstStyle/>
        <a:p>
          <a:endParaRPr lang="en-US"/>
        </a:p>
      </dgm:t>
    </dgm:pt>
    <dgm:pt modelId="{D3DCC0C5-4F67-441C-89CF-1E8888637269}" type="pres">
      <dgm:prSet presAssocID="{807CB5BC-F62C-4003-BD15-88E11AEDAAB8}" presName="hierChild3" presStyleCnt="0"/>
      <dgm:spPr/>
    </dgm:pt>
    <dgm:pt modelId="{B6340377-4F04-4B71-B065-95D6D905C73F}" type="pres">
      <dgm:prSet presAssocID="{D1E69BE0-BD44-428C-9865-F551ECC908E4}" presName="Name17" presStyleLbl="parChTrans1D3" presStyleIdx="2" presStyleCnt="4"/>
      <dgm:spPr/>
      <dgm:t>
        <a:bodyPr/>
        <a:lstStyle/>
        <a:p>
          <a:endParaRPr lang="en-US"/>
        </a:p>
      </dgm:t>
    </dgm:pt>
    <dgm:pt modelId="{F3D04763-80CD-4285-879A-37003FBC207C}" type="pres">
      <dgm:prSet presAssocID="{638A97FC-EFFC-4FA3-901E-5D4D82C92518}" presName="hierRoot3" presStyleCnt="0"/>
      <dgm:spPr/>
    </dgm:pt>
    <dgm:pt modelId="{6BF11F56-C68D-456E-B2B3-D77BA30E46CD}" type="pres">
      <dgm:prSet presAssocID="{638A97FC-EFFC-4FA3-901E-5D4D82C92518}" presName="composite3" presStyleCnt="0"/>
      <dgm:spPr/>
    </dgm:pt>
    <dgm:pt modelId="{814F3139-DB8B-4944-8200-51DDB067AE13}" type="pres">
      <dgm:prSet presAssocID="{638A97FC-EFFC-4FA3-901E-5D4D82C92518}" presName="background3" presStyleLbl="node3" presStyleIdx="2" presStyleCnt="4"/>
      <dgm:spPr/>
    </dgm:pt>
    <dgm:pt modelId="{88C71D29-2113-4034-B0F7-AC95C2947CBA}" type="pres">
      <dgm:prSet presAssocID="{638A97FC-EFFC-4FA3-901E-5D4D82C92518}" presName="text3" presStyleLbl="fgAcc3" presStyleIdx="2" presStyleCnt="4">
        <dgm:presLayoutVars>
          <dgm:chPref val="3"/>
        </dgm:presLayoutVars>
      </dgm:prSet>
      <dgm:spPr/>
      <dgm:t>
        <a:bodyPr/>
        <a:lstStyle/>
        <a:p>
          <a:endParaRPr lang="en-US"/>
        </a:p>
      </dgm:t>
    </dgm:pt>
    <dgm:pt modelId="{4CF2AF6A-EAEE-4E62-9A65-5686EEB6D79D}" type="pres">
      <dgm:prSet presAssocID="{638A97FC-EFFC-4FA3-901E-5D4D82C92518}" presName="hierChild4" presStyleCnt="0"/>
      <dgm:spPr/>
    </dgm:pt>
    <dgm:pt modelId="{BDBB792A-200D-4FEA-8DFF-649F5573E0C0}" type="pres">
      <dgm:prSet presAssocID="{24A733CB-EF27-4B5B-9452-EC1B555BCA2F}" presName="Name17" presStyleLbl="parChTrans1D3" presStyleIdx="3" presStyleCnt="4"/>
      <dgm:spPr/>
      <dgm:t>
        <a:bodyPr/>
        <a:lstStyle/>
        <a:p>
          <a:endParaRPr lang="en-US"/>
        </a:p>
      </dgm:t>
    </dgm:pt>
    <dgm:pt modelId="{2C83D195-6A27-4530-B60D-BA3F3E1E04BA}" type="pres">
      <dgm:prSet presAssocID="{27D25BB5-BE2E-4652-9D9C-313461D14FBD}" presName="hierRoot3" presStyleCnt="0"/>
      <dgm:spPr/>
    </dgm:pt>
    <dgm:pt modelId="{62F61D04-90DF-48C4-A8D4-062A07F42E99}" type="pres">
      <dgm:prSet presAssocID="{27D25BB5-BE2E-4652-9D9C-313461D14FBD}" presName="composite3" presStyleCnt="0"/>
      <dgm:spPr/>
    </dgm:pt>
    <dgm:pt modelId="{50A32932-7F6C-41E3-80D8-D69E54F197A7}" type="pres">
      <dgm:prSet presAssocID="{27D25BB5-BE2E-4652-9D9C-313461D14FBD}" presName="background3" presStyleLbl="node3" presStyleIdx="3" presStyleCnt="4"/>
      <dgm:spPr/>
    </dgm:pt>
    <dgm:pt modelId="{33D90355-D9B8-472B-8430-059F91071B87}" type="pres">
      <dgm:prSet presAssocID="{27D25BB5-BE2E-4652-9D9C-313461D14FBD}" presName="text3" presStyleLbl="fgAcc3" presStyleIdx="3" presStyleCnt="4">
        <dgm:presLayoutVars>
          <dgm:chPref val="3"/>
        </dgm:presLayoutVars>
      </dgm:prSet>
      <dgm:spPr/>
      <dgm:t>
        <a:bodyPr/>
        <a:lstStyle/>
        <a:p>
          <a:endParaRPr lang="en-US"/>
        </a:p>
      </dgm:t>
    </dgm:pt>
    <dgm:pt modelId="{C2BE137B-DE16-4651-8D82-41B2A6559201}" type="pres">
      <dgm:prSet presAssocID="{27D25BB5-BE2E-4652-9D9C-313461D14FBD}" presName="hierChild4" presStyleCnt="0"/>
      <dgm:spPr/>
    </dgm:pt>
  </dgm:ptLst>
  <dgm:cxnLst>
    <dgm:cxn modelId="{C436ADBE-3DFC-44FE-8A44-5E94B93827C0}" srcId="{AF8B2FDF-054D-447F-9D35-00E9720A9751}" destId="{807CB5BC-F62C-4003-BD15-88E11AEDAAB8}" srcOrd="1" destOrd="0" parTransId="{D24E0057-5ED1-4752-828B-C40377A44385}" sibTransId="{CA55360F-F374-401E-A510-A42988691BDE}"/>
    <dgm:cxn modelId="{1FAE480A-9FD0-489B-B31F-4CE4CA1A7B5D}" srcId="{807CB5BC-F62C-4003-BD15-88E11AEDAAB8}" destId="{27D25BB5-BE2E-4652-9D9C-313461D14FBD}" srcOrd="1" destOrd="0" parTransId="{24A733CB-EF27-4B5B-9452-EC1B555BCA2F}" sibTransId="{432FA4EC-ACB2-42CD-A55E-0AEF8975A892}"/>
    <dgm:cxn modelId="{76CF15F0-5985-4B4F-AB4C-211017A59995}" srcId="{22475DCB-E191-47A8-A1F1-BCB595957E99}" destId="{AF8B2FDF-054D-447F-9D35-00E9720A9751}" srcOrd="0" destOrd="0" parTransId="{CEBF6A65-3B8D-4360-9933-B0E0A57A1FC2}" sibTransId="{00711876-3635-45A1-BA36-C015E69BA41E}"/>
    <dgm:cxn modelId="{C543AA4F-5D11-492F-8347-A226BC53A11B}" type="presOf" srcId="{D1E69BE0-BD44-428C-9865-F551ECC908E4}" destId="{B6340377-4F04-4B71-B065-95D6D905C73F}" srcOrd="0" destOrd="0" presId="urn:microsoft.com/office/officeart/2005/8/layout/hierarchy1"/>
    <dgm:cxn modelId="{9D26EC31-98A6-4BD2-84CA-A82CBC2F0B7C}" type="presOf" srcId="{24A733CB-EF27-4B5B-9452-EC1B555BCA2F}" destId="{BDBB792A-200D-4FEA-8DFF-649F5573E0C0}" srcOrd="0" destOrd="0" presId="urn:microsoft.com/office/officeart/2005/8/layout/hierarchy1"/>
    <dgm:cxn modelId="{4DE4C61D-FBDA-45E0-93E3-4DE848E82C4B}" type="presOf" srcId="{638A97FC-EFFC-4FA3-901E-5D4D82C92518}" destId="{88C71D29-2113-4034-B0F7-AC95C2947CBA}" srcOrd="0" destOrd="0" presId="urn:microsoft.com/office/officeart/2005/8/layout/hierarchy1"/>
    <dgm:cxn modelId="{F97B8CD0-A63C-4BCE-9816-D2B834FF45CB}" type="presOf" srcId="{0807E015-762F-45BC-9CCD-AE352AAB2EB7}" destId="{AEB18652-A8B8-4C1C-85F1-4BCC285E0654}" srcOrd="0" destOrd="0" presId="urn:microsoft.com/office/officeart/2005/8/layout/hierarchy1"/>
    <dgm:cxn modelId="{661AF896-E333-4980-87C3-4174BC1154E2}" type="presOf" srcId="{1B0768CD-14C3-4D73-9D33-5239FFBADCC8}" destId="{9CCC0A3D-9BB0-421D-BB1D-E96BC70D4511}" srcOrd="0" destOrd="0" presId="urn:microsoft.com/office/officeart/2005/8/layout/hierarchy1"/>
    <dgm:cxn modelId="{F7AC89F9-E312-48D4-A7C1-82539AF3A306}" type="presOf" srcId="{AF8B2FDF-054D-447F-9D35-00E9720A9751}" destId="{519A842A-F0E1-40DB-AC43-3B7EEDC5F532}" srcOrd="0" destOrd="0" presId="urn:microsoft.com/office/officeart/2005/8/layout/hierarchy1"/>
    <dgm:cxn modelId="{78D7FEF1-0CEE-4B4A-A722-73DB693E64C7}" srcId="{AF8B2FDF-054D-447F-9D35-00E9720A9751}" destId="{0807E015-762F-45BC-9CCD-AE352AAB2EB7}" srcOrd="0" destOrd="0" parTransId="{1B0768CD-14C3-4D73-9D33-5239FFBADCC8}" sibTransId="{49F4A31E-4175-486F-A4CA-0AEF87196456}"/>
    <dgm:cxn modelId="{AF835342-27B9-408F-A263-F201A21D4106}" srcId="{0807E015-762F-45BC-9CCD-AE352AAB2EB7}" destId="{2AF4B928-2743-4220-8238-F2A74C91EDDF}" srcOrd="1" destOrd="0" parTransId="{188FECEC-647D-4CE6-80A5-DB89DB01571B}" sibTransId="{68A1BBA6-0DE4-4EDA-9F1C-109B2D3EA082}"/>
    <dgm:cxn modelId="{C8532094-04B6-47BD-BD8B-E11890EA8F4E}" type="presOf" srcId="{22475DCB-E191-47A8-A1F1-BCB595957E99}" destId="{25ACBD95-CE9C-40DE-8675-0D5457AA1B6D}" srcOrd="0" destOrd="0" presId="urn:microsoft.com/office/officeart/2005/8/layout/hierarchy1"/>
    <dgm:cxn modelId="{F25360E7-BE7F-435F-8E93-C1B0B8BD2BFB}" type="presOf" srcId="{2AF4B928-2743-4220-8238-F2A74C91EDDF}" destId="{BD28D01E-E521-4D27-ADF6-39A7DCD89AE5}" srcOrd="0" destOrd="0" presId="urn:microsoft.com/office/officeart/2005/8/layout/hierarchy1"/>
    <dgm:cxn modelId="{5EAB0D7D-0CBF-4FCD-925A-31CC1D9DA380}" type="presOf" srcId="{D24E0057-5ED1-4752-828B-C40377A44385}" destId="{D0DC916E-BC56-4921-810D-24E62F1C8217}" srcOrd="0" destOrd="0" presId="urn:microsoft.com/office/officeart/2005/8/layout/hierarchy1"/>
    <dgm:cxn modelId="{619FA3E4-C857-4AB1-AA17-554F4865497A}" type="presOf" srcId="{27D25BB5-BE2E-4652-9D9C-313461D14FBD}" destId="{33D90355-D9B8-472B-8430-059F91071B87}" srcOrd="0" destOrd="0" presId="urn:microsoft.com/office/officeart/2005/8/layout/hierarchy1"/>
    <dgm:cxn modelId="{5DA9C216-552E-48FA-B0DC-23D8530288EA}" srcId="{0807E015-762F-45BC-9CCD-AE352AAB2EB7}" destId="{997131B8-D480-4BF4-AC9D-35B0845D808C}" srcOrd="0" destOrd="0" parTransId="{DC954CD2-6FF0-42E8-A0F6-74455C1D8A82}" sibTransId="{9020B2EC-4CE3-473A-B730-9B93B848BCF6}"/>
    <dgm:cxn modelId="{26B87844-4AD9-4746-B2A7-943816C41418}" type="presOf" srcId="{997131B8-D480-4BF4-AC9D-35B0845D808C}" destId="{4F5F3619-7096-4903-9226-22A6E422500A}" srcOrd="0" destOrd="0" presId="urn:microsoft.com/office/officeart/2005/8/layout/hierarchy1"/>
    <dgm:cxn modelId="{F8E2828B-A2FC-42D4-BCA3-88738E173156}" type="presOf" srcId="{807CB5BC-F62C-4003-BD15-88E11AEDAAB8}" destId="{AB89C75D-976F-44CF-AA53-8A7781184284}" srcOrd="0" destOrd="0" presId="urn:microsoft.com/office/officeart/2005/8/layout/hierarchy1"/>
    <dgm:cxn modelId="{9CA9F479-21C1-41CC-B6C1-621D330BBE8E}" type="presOf" srcId="{DC954CD2-6FF0-42E8-A0F6-74455C1D8A82}" destId="{57146BEA-3869-47E2-BADA-7D593CD41E01}" srcOrd="0" destOrd="0" presId="urn:microsoft.com/office/officeart/2005/8/layout/hierarchy1"/>
    <dgm:cxn modelId="{DFA90F79-2DEA-45B2-B67B-0E09623FFCF2}" type="presOf" srcId="{188FECEC-647D-4CE6-80A5-DB89DB01571B}" destId="{CBB9EB3B-A696-4A61-950A-DC563EF8B06B}" srcOrd="0" destOrd="0" presId="urn:microsoft.com/office/officeart/2005/8/layout/hierarchy1"/>
    <dgm:cxn modelId="{6959EFBC-D263-4BB3-BF51-EA40166B7C33}" srcId="{807CB5BC-F62C-4003-BD15-88E11AEDAAB8}" destId="{638A97FC-EFFC-4FA3-901E-5D4D82C92518}" srcOrd="0" destOrd="0" parTransId="{D1E69BE0-BD44-428C-9865-F551ECC908E4}" sibTransId="{B1868067-D906-4B8C-98E0-6A51911BBDB1}"/>
    <dgm:cxn modelId="{834C6126-9337-49FB-9AA5-F918239954FA}" type="presParOf" srcId="{25ACBD95-CE9C-40DE-8675-0D5457AA1B6D}" destId="{E0FB1793-F3FE-4A20-AA4A-C22FA52188BB}" srcOrd="0" destOrd="0" presId="urn:microsoft.com/office/officeart/2005/8/layout/hierarchy1"/>
    <dgm:cxn modelId="{9DD04C60-BEFF-417B-B331-4013A2F72270}" type="presParOf" srcId="{E0FB1793-F3FE-4A20-AA4A-C22FA52188BB}" destId="{3C5E2A56-19C6-4E98-8CF7-90B38D043734}" srcOrd="0" destOrd="0" presId="urn:microsoft.com/office/officeart/2005/8/layout/hierarchy1"/>
    <dgm:cxn modelId="{E21194A5-55E9-4695-A0E6-87E05D6A685E}" type="presParOf" srcId="{3C5E2A56-19C6-4E98-8CF7-90B38D043734}" destId="{8403401F-DCCA-4C33-93AF-366B5BB3FA79}" srcOrd="0" destOrd="0" presId="urn:microsoft.com/office/officeart/2005/8/layout/hierarchy1"/>
    <dgm:cxn modelId="{6E2EC58A-451E-4086-9190-F6C349AD5599}" type="presParOf" srcId="{3C5E2A56-19C6-4E98-8CF7-90B38D043734}" destId="{519A842A-F0E1-40DB-AC43-3B7EEDC5F532}" srcOrd="1" destOrd="0" presId="urn:microsoft.com/office/officeart/2005/8/layout/hierarchy1"/>
    <dgm:cxn modelId="{FEB54F12-C8FC-4E3B-AA3C-BCFD47155CDB}" type="presParOf" srcId="{E0FB1793-F3FE-4A20-AA4A-C22FA52188BB}" destId="{A2782D71-AF07-479B-B8A8-D56CEFE06575}" srcOrd="1" destOrd="0" presId="urn:microsoft.com/office/officeart/2005/8/layout/hierarchy1"/>
    <dgm:cxn modelId="{B465C768-A7F9-4EAF-9773-D9868D74BF55}" type="presParOf" srcId="{A2782D71-AF07-479B-B8A8-D56CEFE06575}" destId="{9CCC0A3D-9BB0-421D-BB1D-E96BC70D4511}" srcOrd="0" destOrd="0" presId="urn:microsoft.com/office/officeart/2005/8/layout/hierarchy1"/>
    <dgm:cxn modelId="{3E1F31F0-A289-48AD-9A2B-10041FECDE86}" type="presParOf" srcId="{A2782D71-AF07-479B-B8A8-D56CEFE06575}" destId="{7E8BAE0D-8B27-4D1E-8F2E-9197DFFCB18F}" srcOrd="1" destOrd="0" presId="urn:microsoft.com/office/officeart/2005/8/layout/hierarchy1"/>
    <dgm:cxn modelId="{2A822762-9337-45EA-AACE-134DE87FD64D}" type="presParOf" srcId="{7E8BAE0D-8B27-4D1E-8F2E-9197DFFCB18F}" destId="{D62EBC4A-43CC-41D5-B3A6-2E30003A1179}" srcOrd="0" destOrd="0" presId="urn:microsoft.com/office/officeart/2005/8/layout/hierarchy1"/>
    <dgm:cxn modelId="{C2AA6015-785E-431D-A56C-F4736D66AD61}" type="presParOf" srcId="{D62EBC4A-43CC-41D5-B3A6-2E30003A1179}" destId="{2DC5D764-6170-42B4-A41D-FE8F8FF9DE39}" srcOrd="0" destOrd="0" presId="urn:microsoft.com/office/officeart/2005/8/layout/hierarchy1"/>
    <dgm:cxn modelId="{B3F3953B-92B8-4279-B347-47AC473EC8FD}" type="presParOf" srcId="{D62EBC4A-43CC-41D5-B3A6-2E30003A1179}" destId="{AEB18652-A8B8-4C1C-85F1-4BCC285E0654}" srcOrd="1" destOrd="0" presId="urn:microsoft.com/office/officeart/2005/8/layout/hierarchy1"/>
    <dgm:cxn modelId="{0D778F61-7388-4A72-85CC-813A4070D5C0}" type="presParOf" srcId="{7E8BAE0D-8B27-4D1E-8F2E-9197DFFCB18F}" destId="{28A985F9-9190-4C26-8369-F778F222E202}" srcOrd="1" destOrd="0" presId="urn:microsoft.com/office/officeart/2005/8/layout/hierarchy1"/>
    <dgm:cxn modelId="{FA9034E4-5433-4ADC-8C57-1976EE267D35}" type="presParOf" srcId="{28A985F9-9190-4C26-8369-F778F222E202}" destId="{57146BEA-3869-47E2-BADA-7D593CD41E01}" srcOrd="0" destOrd="0" presId="urn:microsoft.com/office/officeart/2005/8/layout/hierarchy1"/>
    <dgm:cxn modelId="{D25F8996-E232-4182-8DEF-7CF2456C62E0}" type="presParOf" srcId="{28A985F9-9190-4C26-8369-F778F222E202}" destId="{790AD0EB-A766-4545-9426-A367A5306D92}" srcOrd="1" destOrd="0" presId="urn:microsoft.com/office/officeart/2005/8/layout/hierarchy1"/>
    <dgm:cxn modelId="{17D4CD3C-57A5-4CC4-8F75-9BCB495D9D24}" type="presParOf" srcId="{790AD0EB-A766-4545-9426-A367A5306D92}" destId="{F76D9DF4-4208-4958-9632-B61DCB1E4680}" srcOrd="0" destOrd="0" presId="urn:microsoft.com/office/officeart/2005/8/layout/hierarchy1"/>
    <dgm:cxn modelId="{31471105-C126-4FB6-997B-D321795EC639}" type="presParOf" srcId="{F76D9DF4-4208-4958-9632-B61DCB1E4680}" destId="{472E1688-5D25-4F18-825A-93FEC0DB9C06}" srcOrd="0" destOrd="0" presId="urn:microsoft.com/office/officeart/2005/8/layout/hierarchy1"/>
    <dgm:cxn modelId="{8E9B4A5E-760D-48A5-A55F-F85B865C2ED7}" type="presParOf" srcId="{F76D9DF4-4208-4958-9632-B61DCB1E4680}" destId="{4F5F3619-7096-4903-9226-22A6E422500A}" srcOrd="1" destOrd="0" presId="urn:microsoft.com/office/officeart/2005/8/layout/hierarchy1"/>
    <dgm:cxn modelId="{16083FE0-E7AD-49B2-9827-5C1D091E28BD}" type="presParOf" srcId="{790AD0EB-A766-4545-9426-A367A5306D92}" destId="{8A8E4B18-775E-4355-AD4D-EF0862EBF761}" srcOrd="1" destOrd="0" presId="urn:microsoft.com/office/officeart/2005/8/layout/hierarchy1"/>
    <dgm:cxn modelId="{9002F656-9D12-415F-831E-DC6814BBE63A}" type="presParOf" srcId="{28A985F9-9190-4C26-8369-F778F222E202}" destId="{CBB9EB3B-A696-4A61-950A-DC563EF8B06B}" srcOrd="2" destOrd="0" presId="urn:microsoft.com/office/officeart/2005/8/layout/hierarchy1"/>
    <dgm:cxn modelId="{375A5A1D-54E2-4BDE-968F-FD7C5776E9F6}" type="presParOf" srcId="{28A985F9-9190-4C26-8369-F778F222E202}" destId="{CEEC18D7-EB4E-4182-B493-DFD3C358BF57}" srcOrd="3" destOrd="0" presId="urn:microsoft.com/office/officeart/2005/8/layout/hierarchy1"/>
    <dgm:cxn modelId="{DC1A4BC4-BE7A-4272-8D09-5B78FFF06E55}" type="presParOf" srcId="{CEEC18D7-EB4E-4182-B493-DFD3C358BF57}" destId="{1E571DF8-C4D2-49F8-9F4E-AA66C69E4D0F}" srcOrd="0" destOrd="0" presId="urn:microsoft.com/office/officeart/2005/8/layout/hierarchy1"/>
    <dgm:cxn modelId="{C40EC6C7-7B96-4397-AECB-342CD26A755D}" type="presParOf" srcId="{1E571DF8-C4D2-49F8-9F4E-AA66C69E4D0F}" destId="{D6713176-26B5-4142-B484-C572B9F2A4F6}" srcOrd="0" destOrd="0" presId="urn:microsoft.com/office/officeart/2005/8/layout/hierarchy1"/>
    <dgm:cxn modelId="{EA184B96-05A8-4738-89C6-36AAC1D0C8DC}" type="presParOf" srcId="{1E571DF8-C4D2-49F8-9F4E-AA66C69E4D0F}" destId="{BD28D01E-E521-4D27-ADF6-39A7DCD89AE5}" srcOrd="1" destOrd="0" presId="urn:microsoft.com/office/officeart/2005/8/layout/hierarchy1"/>
    <dgm:cxn modelId="{3EEF1815-DDA1-49B1-9131-F972A5E7537C}" type="presParOf" srcId="{CEEC18D7-EB4E-4182-B493-DFD3C358BF57}" destId="{3CACA664-7E1F-47EF-910F-C95ABB0AAEB6}" srcOrd="1" destOrd="0" presId="urn:microsoft.com/office/officeart/2005/8/layout/hierarchy1"/>
    <dgm:cxn modelId="{96A6B321-F6B6-4470-B1A0-67E0FEABD7E1}" type="presParOf" srcId="{A2782D71-AF07-479B-B8A8-D56CEFE06575}" destId="{D0DC916E-BC56-4921-810D-24E62F1C8217}" srcOrd="2" destOrd="0" presId="urn:microsoft.com/office/officeart/2005/8/layout/hierarchy1"/>
    <dgm:cxn modelId="{A47DDDBE-9F75-4042-B2DB-7D98277CA456}" type="presParOf" srcId="{A2782D71-AF07-479B-B8A8-D56CEFE06575}" destId="{4999AC6D-F1B5-4904-B71D-5989E4C80449}" srcOrd="3" destOrd="0" presId="urn:microsoft.com/office/officeart/2005/8/layout/hierarchy1"/>
    <dgm:cxn modelId="{55C45259-8A6B-4096-BA78-41D9F809CF45}" type="presParOf" srcId="{4999AC6D-F1B5-4904-B71D-5989E4C80449}" destId="{ABD8AD8A-D247-40C0-9DE4-4944D9B5E4AE}" srcOrd="0" destOrd="0" presId="urn:microsoft.com/office/officeart/2005/8/layout/hierarchy1"/>
    <dgm:cxn modelId="{13549B3F-6631-42C1-81F0-EEE89492AF20}" type="presParOf" srcId="{ABD8AD8A-D247-40C0-9DE4-4944D9B5E4AE}" destId="{B7976724-863B-4170-BC86-52DF0ABE019F}" srcOrd="0" destOrd="0" presId="urn:microsoft.com/office/officeart/2005/8/layout/hierarchy1"/>
    <dgm:cxn modelId="{E02DD8C4-7583-4FAF-B146-A34AC339C650}" type="presParOf" srcId="{ABD8AD8A-D247-40C0-9DE4-4944D9B5E4AE}" destId="{AB89C75D-976F-44CF-AA53-8A7781184284}" srcOrd="1" destOrd="0" presId="urn:microsoft.com/office/officeart/2005/8/layout/hierarchy1"/>
    <dgm:cxn modelId="{107CF293-13A8-4266-BA2E-5932F94C803E}" type="presParOf" srcId="{4999AC6D-F1B5-4904-B71D-5989E4C80449}" destId="{D3DCC0C5-4F67-441C-89CF-1E8888637269}" srcOrd="1" destOrd="0" presId="urn:microsoft.com/office/officeart/2005/8/layout/hierarchy1"/>
    <dgm:cxn modelId="{7B3FF49D-B74B-42DC-954E-CF68AA594B12}" type="presParOf" srcId="{D3DCC0C5-4F67-441C-89CF-1E8888637269}" destId="{B6340377-4F04-4B71-B065-95D6D905C73F}" srcOrd="0" destOrd="0" presId="urn:microsoft.com/office/officeart/2005/8/layout/hierarchy1"/>
    <dgm:cxn modelId="{6F68586E-E0F1-414A-8F53-1D550BFA9A9B}" type="presParOf" srcId="{D3DCC0C5-4F67-441C-89CF-1E8888637269}" destId="{F3D04763-80CD-4285-879A-37003FBC207C}" srcOrd="1" destOrd="0" presId="urn:microsoft.com/office/officeart/2005/8/layout/hierarchy1"/>
    <dgm:cxn modelId="{F1256FEB-6B27-44E7-952D-4717BBD249C6}" type="presParOf" srcId="{F3D04763-80CD-4285-879A-37003FBC207C}" destId="{6BF11F56-C68D-456E-B2B3-D77BA30E46CD}" srcOrd="0" destOrd="0" presId="urn:microsoft.com/office/officeart/2005/8/layout/hierarchy1"/>
    <dgm:cxn modelId="{97712195-64FE-4A05-A08E-637F4D52BC91}" type="presParOf" srcId="{6BF11F56-C68D-456E-B2B3-D77BA30E46CD}" destId="{814F3139-DB8B-4944-8200-51DDB067AE13}" srcOrd="0" destOrd="0" presId="urn:microsoft.com/office/officeart/2005/8/layout/hierarchy1"/>
    <dgm:cxn modelId="{4D513277-E8D4-4C72-B1DF-08B7E98C5566}" type="presParOf" srcId="{6BF11F56-C68D-456E-B2B3-D77BA30E46CD}" destId="{88C71D29-2113-4034-B0F7-AC95C2947CBA}" srcOrd="1" destOrd="0" presId="urn:microsoft.com/office/officeart/2005/8/layout/hierarchy1"/>
    <dgm:cxn modelId="{666F2098-1B58-4D42-A1EE-5E2847B37814}" type="presParOf" srcId="{F3D04763-80CD-4285-879A-37003FBC207C}" destId="{4CF2AF6A-EAEE-4E62-9A65-5686EEB6D79D}" srcOrd="1" destOrd="0" presId="urn:microsoft.com/office/officeart/2005/8/layout/hierarchy1"/>
    <dgm:cxn modelId="{658B83C9-70FE-426F-8179-938F5391E9A2}" type="presParOf" srcId="{D3DCC0C5-4F67-441C-89CF-1E8888637269}" destId="{BDBB792A-200D-4FEA-8DFF-649F5573E0C0}" srcOrd="2" destOrd="0" presId="urn:microsoft.com/office/officeart/2005/8/layout/hierarchy1"/>
    <dgm:cxn modelId="{602D8C0D-7F58-4B14-B8D3-B8D80651DBF9}" type="presParOf" srcId="{D3DCC0C5-4F67-441C-89CF-1E8888637269}" destId="{2C83D195-6A27-4530-B60D-BA3F3E1E04BA}" srcOrd="3" destOrd="0" presId="urn:microsoft.com/office/officeart/2005/8/layout/hierarchy1"/>
    <dgm:cxn modelId="{1D6721F7-CBFF-4D6E-B12D-4289D0BD4C50}" type="presParOf" srcId="{2C83D195-6A27-4530-B60D-BA3F3E1E04BA}" destId="{62F61D04-90DF-48C4-A8D4-062A07F42E99}" srcOrd="0" destOrd="0" presId="urn:microsoft.com/office/officeart/2005/8/layout/hierarchy1"/>
    <dgm:cxn modelId="{6FAEC6F1-F6CB-46E2-BFA7-D7EBA8E1B0A0}" type="presParOf" srcId="{62F61D04-90DF-48C4-A8D4-062A07F42E99}" destId="{50A32932-7F6C-41E3-80D8-D69E54F197A7}" srcOrd="0" destOrd="0" presId="urn:microsoft.com/office/officeart/2005/8/layout/hierarchy1"/>
    <dgm:cxn modelId="{39008C57-64C2-4199-997B-F9CF127D98CA}" type="presParOf" srcId="{62F61D04-90DF-48C4-A8D4-062A07F42E99}" destId="{33D90355-D9B8-472B-8430-059F91071B87}" srcOrd="1" destOrd="0" presId="urn:microsoft.com/office/officeart/2005/8/layout/hierarchy1"/>
    <dgm:cxn modelId="{F6E7C0D9-92EF-4927-B3A7-0A249AD189CC}" type="presParOf" srcId="{2C83D195-6A27-4530-B60D-BA3F3E1E04BA}" destId="{C2BE137B-DE16-4651-8D82-41B2A6559201}"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45F49-0861-435F-861A-605AD76CB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1961</TotalTime>
  <Pages>14</Pages>
  <Words>3609</Words>
  <Characters>20576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91</cp:revision>
  <dcterms:created xsi:type="dcterms:W3CDTF">2023-06-27T10:55:00Z</dcterms:created>
  <dcterms:modified xsi:type="dcterms:W3CDTF">2023-06-30T14:49:00Z</dcterms:modified>
</cp:coreProperties>
</file>