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95C01" w14:textId="77777777" w:rsidR="00F0061E" w:rsidRDefault="00F5564B" w:rsidP="00D2649D">
      <w:pPr>
        <w:spacing w:line="360" w:lineRule="auto"/>
        <w:jc w:val="center"/>
        <w:rPr>
          <w:b/>
          <w:bCs/>
          <w:sz w:val="32"/>
          <w:szCs w:val="32"/>
        </w:rPr>
      </w:pPr>
      <w:r>
        <w:rPr>
          <w:b/>
          <w:bCs/>
          <w:sz w:val="32"/>
          <w:szCs w:val="32"/>
        </w:rPr>
        <w:t xml:space="preserve">Socio - Economic </w:t>
      </w:r>
      <w:r w:rsidR="00700662" w:rsidRPr="0031141F">
        <w:rPr>
          <w:b/>
          <w:bCs/>
          <w:sz w:val="32"/>
          <w:szCs w:val="32"/>
        </w:rPr>
        <w:t>Condition</w:t>
      </w:r>
      <w:r w:rsidR="008718FD" w:rsidRPr="0031141F">
        <w:rPr>
          <w:b/>
          <w:bCs/>
          <w:sz w:val="32"/>
          <w:szCs w:val="32"/>
        </w:rPr>
        <w:t>s</w:t>
      </w:r>
      <w:r w:rsidR="00700662" w:rsidRPr="0031141F">
        <w:rPr>
          <w:b/>
          <w:bCs/>
          <w:sz w:val="32"/>
          <w:szCs w:val="32"/>
        </w:rPr>
        <w:t xml:space="preserve"> of </w:t>
      </w:r>
      <w:r w:rsidR="00992692" w:rsidRPr="0031141F">
        <w:rPr>
          <w:b/>
          <w:bCs/>
          <w:sz w:val="32"/>
          <w:szCs w:val="32"/>
        </w:rPr>
        <w:t xml:space="preserve">Migrant Workers </w:t>
      </w:r>
      <w:r w:rsidR="007A568D" w:rsidRPr="0031141F">
        <w:rPr>
          <w:b/>
          <w:bCs/>
          <w:sz w:val="32"/>
          <w:szCs w:val="32"/>
        </w:rPr>
        <w:t>in GCC Countries</w:t>
      </w:r>
      <w:r w:rsidR="00F646F3" w:rsidRPr="0031141F">
        <w:rPr>
          <w:b/>
          <w:bCs/>
          <w:sz w:val="32"/>
          <w:szCs w:val="32"/>
        </w:rPr>
        <w:t xml:space="preserve">: </w:t>
      </w:r>
      <w:r w:rsidR="00A5173D">
        <w:rPr>
          <w:b/>
          <w:bCs/>
          <w:sz w:val="32"/>
          <w:szCs w:val="32"/>
        </w:rPr>
        <w:t>A Critical</w:t>
      </w:r>
      <w:r w:rsidR="00A5173D" w:rsidRPr="0031141F">
        <w:rPr>
          <w:b/>
          <w:bCs/>
          <w:sz w:val="32"/>
          <w:szCs w:val="32"/>
        </w:rPr>
        <w:t xml:space="preserve"> Overview</w:t>
      </w:r>
    </w:p>
    <w:p w14:paraId="29E325F1" w14:textId="294083C0" w:rsidR="001A1803" w:rsidRPr="001A1803" w:rsidRDefault="001A1803" w:rsidP="001A1F63">
      <w:pPr>
        <w:jc w:val="center"/>
        <w:rPr>
          <w:b/>
          <w:bCs/>
          <w:szCs w:val="24"/>
        </w:rPr>
      </w:pPr>
      <w:r w:rsidRPr="001A1803">
        <w:rPr>
          <w:b/>
          <w:bCs/>
          <w:szCs w:val="24"/>
        </w:rPr>
        <w:t xml:space="preserve">Md </w:t>
      </w:r>
      <w:proofErr w:type="spellStart"/>
      <w:r w:rsidRPr="001A1803">
        <w:rPr>
          <w:b/>
          <w:bCs/>
          <w:szCs w:val="24"/>
        </w:rPr>
        <w:t>Misbahuddin</w:t>
      </w:r>
      <w:proofErr w:type="spellEnd"/>
      <w:r w:rsidRPr="001A1803">
        <w:rPr>
          <w:b/>
          <w:bCs/>
          <w:szCs w:val="24"/>
        </w:rPr>
        <w:t xml:space="preserve"> Ansari</w:t>
      </w:r>
    </w:p>
    <w:p w14:paraId="38E32A0E" w14:textId="13CA4D62" w:rsidR="001A1803" w:rsidRPr="00C55BEE" w:rsidRDefault="001A1803" w:rsidP="001A1F63">
      <w:pPr>
        <w:jc w:val="center"/>
        <w:rPr>
          <w:szCs w:val="24"/>
        </w:rPr>
      </w:pPr>
      <w:r w:rsidRPr="00C55BEE">
        <w:rPr>
          <w:szCs w:val="24"/>
        </w:rPr>
        <w:t xml:space="preserve">PhD Research Scholar, Centre for West Asian Studies, Jamia </w:t>
      </w:r>
      <w:proofErr w:type="spellStart"/>
      <w:r w:rsidRPr="00C55BEE">
        <w:rPr>
          <w:szCs w:val="24"/>
        </w:rPr>
        <w:t>Millia</w:t>
      </w:r>
      <w:proofErr w:type="spellEnd"/>
      <w:r w:rsidRPr="00C55BEE">
        <w:rPr>
          <w:szCs w:val="24"/>
        </w:rPr>
        <w:t xml:space="preserve"> Islamia University, New</w:t>
      </w:r>
      <w:r w:rsidR="00C55BEE" w:rsidRPr="00C55BEE">
        <w:rPr>
          <w:szCs w:val="24"/>
        </w:rPr>
        <w:t xml:space="preserve"> </w:t>
      </w:r>
      <w:r w:rsidRPr="00C55BEE">
        <w:rPr>
          <w:szCs w:val="24"/>
        </w:rPr>
        <w:t>Delhi, India</w:t>
      </w:r>
    </w:p>
    <w:p w14:paraId="5D0DC399" w14:textId="63F2E1CC" w:rsidR="001A1803" w:rsidRPr="001A1803" w:rsidRDefault="001A1803" w:rsidP="001A1F63">
      <w:pPr>
        <w:jc w:val="center"/>
        <w:rPr>
          <w:b/>
          <w:bCs/>
          <w:szCs w:val="24"/>
        </w:rPr>
      </w:pPr>
      <w:r w:rsidRPr="001A1803">
        <w:rPr>
          <w:b/>
          <w:bCs/>
          <w:szCs w:val="24"/>
        </w:rPr>
        <w:t xml:space="preserve">Professor </w:t>
      </w:r>
      <w:proofErr w:type="spellStart"/>
      <w:r w:rsidRPr="001A1803">
        <w:rPr>
          <w:b/>
          <w:bCs/>
          <w:szCs w:val="24"/>
        </w:rPr>
        <w:t>Anisur</w:t>
      </w:r>
      <w:proofErr w:type="spellEnd"/>
      <w:r w:rsidRPr="001A1803">
        <w:rPr>
          <w:b/>
          <w:bCs/>
          <w:szCs w:val="24"/>
        </w:rPr>
        <w:t xml:space="preserve"> Rahman</w:t>
      </w:r>
    </w:p>
    <w:p w14:paraId="24E16018" w14:textId="2CD8F2D7" w:rsidR="001A1803" w:rsidRPr="00C55BEE" w:rsidRDefault="001A1803" w:rsidP="001A1F63">
      <w:pPr>
        <w:jc w:val="center"/>
        <w:rPr>
          <w:szCs w:val="24"/>
        </w:rPr>
      </w:pPr>
      <w:r w:rsidRPr="00C55BEE">
        <w:rPr>
          <w:szCs w:val="24"/>
        </w:rPr>
        <w:t xml:space="preserve">Professor and Director, UGC-Human Resource Development Centre, Jamia </w:t>
      </w:r>
      <w:proofErr w:type="spellStart"/>
      <w:r w:rsidRPr="00C55BEE">
        <w:rPr>
          <w:szCs w:val="24"/>
        </w:rPr>
        <w:t>Millia</w:t>
      </w:r>
      <w:proofErr w:type="spellEnd"/>
      <w:r w:rsidR="00C55BEE" w:rsidRPr="00C55BEE">
        <w:rPr>
          <w:szCs w:val="24"/>
        </w:rPr>
        <w:t xml:space="preserve"> </w:t>
      </w:r>
      <w:r w:rsidRPr="00C55BEE">
        <w:rPr>
          <w:szCs w:val="24"/>
        </w:rPr>
        <w:t>Islamia</w:t>
      </w:r>
      <w:r w:rsidR="00C55BEE" w:rsidRPr="00C55BEE">
        <w:rPr>
          <w:szCs w:val="24"/>
        </w:rPr>
        <w:t xml:space="preserve"> </w:t>
      </w:r>
      <w:r w:rsidRPr="00C55BEE">
        <w:rPr>
          <w:szCs w:val="24"/>
        </w:rPr>
        <w:t>University, New Delhi, India</w:t>
      </w:r>
    </w:p>
    <w:p w14:paraId="734B5D24" w14:textId="77777777" w:rsidR="00B7450D" w:rsidRDefault="00B7450D" w:rsidP="00170CD8">
      <w:pPr>
        <w:spacing w:line="360" w:lineRule="auto"/>
        <w:rPr>
          <w:b/>
          <w:szCs w:val="24"/>
        </w:rPr>
      </w:pPr>
      <w:r>
        <w:rPr>
          <w:b/>
          <w:szCs w:val="24"/>
        </w:rPr>
        <w:t>Abstract</w:t>
      </w:r>
    </w:p>
    <w:p w14:paraId="2D41128F" w14:textId="77777777" w:rsidR="00486642" w:rsidRDefault="00486642" w:rsidP="00486642">
      <w:pPr>
        <w:spacing w:line="360" w:lineRule="auto"/>
        <w:jc w:val="both"/>
        <w:rPr>
          <w:bCs/>
          <w:szCs w:val="24"/>
        </w:rPr>
      </w:pPr>
      <w:r w:rsidRPr="00486642">
        <w:rPr>
          <w:bCs/>
          <w:szCs w:val="24"/>
        </w:rPr>
        <w:t xml:space="preserve">Migration is a worldwide phenomenon that has been happening since the dawn of human history. The main reasons for migration are economic and political. This could be also understood in terms of push and pull factors. When people migrate to other places due to the adverse situation that compels the people is called the push factor. On the others hand, when people are attracted to get better opportunities elsewhere is called the pull factor. Gulf countries are one of the most important destinations where a large number of migrants have migrated. They have come to the GCC countries from several countries, especially South Asian countries. This is estimated that about 30 million migrants are living in the GCC countries. Of them, there are approximately nine million Indians are living in the region. This is evident that the working and living conditions of migrant workers are said to be poor. Their rights are often violated. This is also reported that their salaries are not paid on time. It is sometimes noted that they are badly exploited by their employers. The main aim of the paper is to examine all these issues deeply. This study would be largely based on secondary sources of literature available. The six GCC countries namely, Saudi Arabia, Bahrain, Kuwait, Oman, Qatar and the UAE have been taken into consideration. The paper also tries to assess how the Covid-19 pandemic has adversely affected the socioeconomic life of migrant works. </w:t>
      </w:r>
    </w:p>
    <w:p w14:paraId="3471C1C1" w14:textId="77777777" w:rsidR="00A909FF" w:rsidRPr="007D11CD" w:rsidRDefault="00A909FF" w:rsidP="00170CD8">
      <w:pPr>
        <w:spacing w:line="360" w:lineRule="auto"/>
        <w:rPr>
          <w:bCs/>
          <w:szCs w:val="24"/>
        </w:rPr>
      </w:pPr>
      <w:r w:rsidRPr="00066749">
        <w:rPr>
          <w:b/>
          <w:szCs w:val="24"/>
        </w:rPr>
        <w:t>Keywords</w:t>
      </w:r>
      <w:r w:rsidR="00066749">
        <w:rPr>
          <w:bCs/>
          <w:szCs w:val="24"/>
        </w:rPr>
        <w:t>: Migrant Workers, GCC Countries, Covid-19</w:t>
      </w:r>
      <w:r w:rsidR="00085100">
        <w:rPr>
          <w:bCs/>
          <w:szCs w:val="24"/>
        </w:rPr>
        <w:t>, Socio-economic Effects</w:t>
      </w:r>
    </w:p>
    <w:p w14:paraId="0B22DFBC" w14:textId="77777777" w:rsidR="007A43CA" w:rsidRDefault="007A43CA" w:rsidP="00FF55DA">
      <w:pPr>
        <w:spacing w:line="360" w:lineRule="auto"/>
        <w:jc w:val="both"/>
        <w:rPr>
          <w:b/>
          <w:szCs w:val="24"/>
        </w:rPr>
      </w:pPr>
      <w:r w:rsidRPr="00F0061E">
        <w:rPr>
          <w:b/>
          <w:szCs w:val="24"/>
        </w:rPr>
        <w:t>Introduction</w:t>
      </w:r>
    </w:p>
    <w:p w14:paraId="53EDE1DF" w14:textId="77777777" w:rsidR="00E15EA4" w:rsidRDefault="009958C1" w:rsidP="00FF55DA">
      <w:pPr>
        <w:spacing w:line="360" w:lineRule="auto"/>
        <w:jc w:val="both"/>
        <w:rPr>
          <w:bCs/>
          <w:szCs w:val="24"/>
        </w:rPr>
      </w:pPr>
      <w:r>
        <w:rPr>
          <w:bCs/>
          <w:szCs w:val="24"/>
        </w:rPr>
        <w:t xml:space="preserve">The </w:t>
      </w:r>
      <w:r w:rsidR="00A71797">
        <w:rPr>
          <w:bCs/>
          <w:szCs w:val="24"/>
        </w:rPr>
        <w:t>movement of</w:t>
      </w:r>
      <w:r>
        <w:rPr>
          <w:bCs/>
          <w:szCs w:val="24"/>
        </w:rPr>
        <w:t xml:space="preserve"> a people or person </w:t>
      </w:r>
      <w:r w:rsidR="00AD1A2C">
        <w:rPr>
          <w:bCs/>
          <w:szCs w:val="24"/>
        </w:rPr>
        <w:t xml:space="preserve">from one place to </w:t>
      </w:r>
      <w:r w:rsidR="00811C57">
        <w:rPr>
          <w:bCs/>
          <w:szCs w:val="24"/>
        </w:rPr>
        <w:t xml:space="preserve">another </w:t>
      </w:r>
      <w:r w:rsidR="003D3F67">
        <w:rPr>
          <w:bCs/>
          <w:szCs w:val="24"/>
        </w:rPr>
        <w:t>place is</w:t>
      </w:r>
      <w:r w:rsidR="007C65C5">
        <w:rPr>
          <w:bCs/>
          <w:szCs w:val="24"/>
        </w:rPr>
        <w:t xml:space="preserve"> known as </w:t>
      </w:r>
      <w:r w:rsidR="003D3F67">
        <w:rPr>
          <w:bCs/>
          <w:szCs w:val="24"/>
        </w:rPr>
        <w:t>migration. It</w:t>
      </w:r>
      <w:r w:rsidR="007C65C5">
        <w:rPr>
          <w:bCs/>
          <w:szCs w:val="24"/>
        </w:rPr>
        <w:t xml:space="preserve"> could be from </w:t>
      </w:r>
      <w:r w:rsidR="00811C57">
        <w:rPr>
          <w:bCs/>
          <w:szCs w:val="24"/>
        </w:rPr>
        <w:t>one region to another region</w:t>
      </w:r>
      <w:r w:rsidR="007C65C5">
        <w:rPr>
          <w:bCs/>
          <w:szCs w:val="24"/>
        </w:rPr>
        <w:t xml:space="preserve"> and </w:t>
      </w:r>
      <w:r w:rsidR="00811C57">
        <w:rPr>
          <w:bCs/>
          <w:szCs w:val="24"/>
        </w:rPr>
        <w:t>one countr</w:t>
      </w:r>
      <w:r w:rsidR="00A71797">
        <w:rPr>
          <w:bCs/>
          <w:szCs w:val="24"/>
        </w:rPr>
        <w:t>y to an</w:t>
      </w:r>
      <w:r w:rsidR="00723815">
        <w:rPr>
          <w:bCs/>
          <w:szCs w:val="24"/>
        </w:rPr>
        <w:t>other country</w:t>
      </w:r>
      <w:r w:rsidR="007D6A57">
        <w:rPr>
          <w:bCs/>
          <w:szCs w:val="24"/>
        </w:rPr>
        <w:t xml:space="preserve">. </w:t>
      </w:r>
      <w:r w:rsidR="00EF649C">
        <w:rPr>
          <w:bCs/>
          <w:szCs w:val="24"/>
        </w:rPr>
        <w:t>In</w:t>
      </w:r>
      <w:r w:rsidR="00B118F1">
        <w:rPr>
          <w:bCs/>
          <w:szCs w:val="24"/>
        </w:rPr>
        <w:t xml:space="preserve"> c</w:t>
      </w:r>
      <w:r w:rsidR="0060570C">
        <w:rPr>
          <w:bCs/>
          <w:szCs w:val="24"/>
        </w:rPr>
        <w:t>ontemporary time</w:t>
      </w:r>
      <w:r w:rsidR="007C65C5">
        <w:rPr>
          <w:bCs/>
          <w:szCs w:val="24"/>
        </w:rPr>
        <w:t>s</w:t>
      </w:r>
      <w:r w:rsidR="00B118F1">
        <w:rPr>
          <w:bCs/>
          <w:szCs w:val="24"/>
        </w:rPr>
        <w:t>,</w:t>
      </w:r>
      <w:r w:rsidR="0060570C">
        <w:rPr>
          <w:bCs/>
          <w:szCs w:val="24"/>
        </w:rPr>
        <w:t xml:space="preserve"> the main </w:t>
      </w:r>
      <w:r w:rsidR="00B118F1">
        <w:rPr>
          <w:bCs/>
          <w:szCs w:val="24"/>
        </w:rPr>
        <w:t>reasons behind human mobility are</w:t>
      </w:r>
      <w:r w:rsidR="007C65C5">
        <w:rPr>
          <w:bCs/>
          <w:szCs w:val="24"/>
        </w:rPr>
        <w:t xml:space="preserve"> social, economic</w:t>
      </w:r>
      <w:r w:rsidR="00A21028">
        <w:rPr>
          <w:bCs/>
          <w:szCs w:val="24"/>
        </w:rPr>
        <w:t xml:space="preserve">, </w:t>
      </w:r>
      <w:r w:rsidR="002A018B">
        <w:rPr>
          <w:bCs/>
          <w:szCs w:val="24"/>
        </w:rPr>
        <w:t xml:space="preserve">and </w:t>
      </w:r>
      <w:r w:rsidR="002A018B">
        <w:rPr>
          <w:bCs/>
          <w:szCs w:val="24"/>
        </w:rPr>
        <w:lastRenderedPageBreak/>
        <w:t>natural</w:t>
      </w:r>
      <w:r w:rsidR="006F65C1">
        <w:rPr>
          <w:bCs/>
          <w:szCs w:val="24"/>
        </w:rPr>
        <w:t xml:space="preserve"> factor</w:t>
      </w:r>
      <w:r w:rsidR="00B118F1">
        <w:rPr>
          <w:bCs/>
          <w:szCs w:val="24"/>
        </w:rPr>
        <w:t>s</w:t>
      </w:r>
      <w:r w:rsidR="006F65C1">
        <w:rPr>
          <w:bCs/>
          <w:szCs w:val="24"/>
        </w:rPr>
        <w:t>.</w:t>
      </w:r>
      <w:r w:rsidR="00E15EA4">
        <w:rPr>
          <w:rStyle w:val="EndnoteReference"/>
          <w:bCs/>
          <w:szCs w:val="24"/>
        </w:rPr>
        <w:endnoteReference w:id="1"/>
      </w:r>
      <w:r w:rsidR="00486642" w:rsidRPr="00486642">
        <w:rPr>
          <w:bCs/>
          <w:szCs w:val="24"/>
        </w:rPr>
        <w:t>Some migration could be voluntary whereas some are forced. According to the International Migrant Stock 2019 report from the Population Division of the United Nations Department of Economic and Social Affairs, India has about 17.5 million migrants. This makes India one of the top international providers of human mobility. About 6.4% of the people who move around the world are from India. The United Nations Migration Agency which is an international organisation for migrants, says that human migration occurs when a person moves from one international border to another or from one country to another. Regardless of a person's legal status, whether they moved voluntarily or were forced to move. In terms of internal migration moving from one state to another state Indian constitution provide pretty flexible rights to their citizens. Article 19 of the Indian constitution says that every Indian citizen is free to move anywhere inside India's borders. According to the 2011 census, about 45 million Indians left the place where they were born to make money and live a better life elsewhere</w:t>
      </w:r>
      <w:r w:rsidR="00E15EA4" w:rsidRPr="007D2CC3">
        <w:rPr>
          <w:bCs/>
          <w:szCs w:val="24"/>
        </w:rPr>
        <w:t>.</w:t>
      </w:r>
      <w:r w:rsidR="00E15EA4">
        <w:rPr>
          <w:rStyle w:val="EndnoteReference"/>
          <w:bCs/>
          <w:szCs w:val="24"/>
        </w:rPr>
        <w:endnoteReference w:id="2"/>
      </w:r>
    </w:p>
    <w:p w14:paraId="67FF1927" w14:textId="77777777" w:rsidR="00E15EA4" w:rsidRDefault="00486642" w:rsidP="00FF55DA">
      <w:pPr>
        <w:spacing w:line="360" w:lineRule="auto"/>
        <w:jc w:val="both"/>
        <w:rPr>
          <w:bCs/>
          <w:szCs w:val="24"/>
        </w:rPr>
      </w:pPr>
      <w:r w:rsidRPr="00486642">
        <w:rPr>
          <w:bCs/>
          <w:szCs w:val="24"/>
        </w:rPr>
        <w:t>The social aspect of migration, in these conditions, people have chosen the process of migration because they want to lock in a higher quality of life, including a better quality of education and better health facilities, and so on. Another aspect of migration is the economic aspect under this aspect many individuals are opting for the process of migration to improve their chances of securing a job. It is also possible that people will choose to migrate because they are unable to find better work opportunities in their own country. In Contemporary time these are the primary factor that leads people to choose the process of migration</w:t>
      </w:r>
      <w:r w:rsidR="00E15EA4" w:rsidRPr="00D45FE0">
        <w:rPr>
          <w:bCs/>
          <w:szCs w:val="24"/>
        </w:rPr>
        <w:t>.</w:t>
      </w:r>
    </w:p>
    <w:p w14:paraId="4074D1A6" w14:textId="77777777" w:rsidR="00E15EA4" w:rsidRPr="00FB68D1" w:rsidRDefault="00E15EA4" w:rsidP="00FF55DA">
      <w:pPr>
        <w:spacing w:line="360" w:lineRule="auto"/>
        <w:jc w:val="both"/>
        <w:rPr>
          <w:b/>
          <w:szCs w:val="24"/>
        </w:rPr>
      </w:pPr>
      <w:r>
        <w:rPr>
          <w:b/>
          <w:szCs w:val="24"/>
        </w:rPr>
        <w:t>Migrant W</w:t>
      </w:r>
      <w:r w:rsidRPr="00FB68D1">
        <w:rPr>
          <w:b/>
          <w:szCs w:val="24"/>
        </w:rPr>
        <w:t xml:space="preserve">orkers </w:t>
      </w:r>
      <w:r>
        <w:rPr>
          <w:b/>
          <w:szCs w:val="24"/>
        </w:rPr>
        <w:t>in the Gulf Countries</w:t>
      </w:r>
    </w:p>
    <w:p w14:paraId="5C9B9708" w14:textId="77777777" w:rsidR="00955347" w:rsidRPr="00955347" w:rsidRDefault="00955347" w:rsidP="00955347">
      <w:pPr>
        <w:spacing w:line="360" w:lineRule="auto"/>
        <w:jc w:val="both"/>
        <w:rPr>
          <w:bCs/>
          <w:szCs w:val="24"/>
        </w:rPr>
      </w:pPr>
      <w:r w:rsidRPr="00955347">
        <w:rPr>
          <w:bCs/>
          <w:szCs w:val="24"/>
        </w:rPr>
        <w:t>After the oil boom of the 1970s, in GCC regions huge populations moved to Gulf countries in search of work. During this time Gulf countries mostly hired workers from India or the southern part of Asia. The main reason behind this is to hire most of the workers from these regions as South Asian workers was willing to work for low wages and didn't get involved in the internal politics of the Gulf countries.</w:t>
      </w:r>
    </w:p>
    <w:p w14:paraId="57FE03EB" w14:textId="77777777" w:rsidR="00955347" w:rsidRPr="00955347" w:rsidRDefault="00955347" w:rsidP="00955347">
      <w:pPr>
        <w:spacing w:line="360" w:lineRule="auto"/>
        <w:jc w:val="both"/>
        <w:rPr>
          <w:bCs/>
          <w:szCs w:val="24"/>
        </w:rPr>
      </w:pPr>
      <w:r w:rsidRPr="00955347">
        <w:rPr>
          <w:bCs/>
          <w:szCs w:val="24"/>
        </w:rPr>
        <w:t xml:space="preserve">Migrant workers from South Asian Countries in nature un-skilled workers constituted the backbone of the Gulf construction industry’s growth. Although the Gulf Cooperation Council (GCC) considers migrants to be temporary, some have been living there for years, and their third generation will be labourers in GCC. Approximately 70% of Indian migrants work as a driver, domestic helpers, or labourers on building sites. If we look at migration patterns, we can see that the majority of migrants came from Kerala in the past, but currently, low-skilled </w:t>
      </w:r>
      <w:r w:rsidRPr="00955347">
        <w:rPr>
          <w:bCs/>
          <w:szCs w:val="24"/>
        </w:rPr>
        <w:lastRenderedPageBreak/>
        <w:t>labourers are migrating from Uttar Pradesh and Bihar. Uttar Pradesh, Bihar, Kerala, Tamil Nadu, and Telangana are the states from which a substantial volume of labour migration occurs.</w:t>
      </w:r>
    </w:p>
    <w:p w14:paraId="46E92B6F" w14:textId="77777777" w:rsidR="00E15EA4" w:rsidRDefault="00955347" w:rsidP="00955347">
      <w:pPr>
        <w:spacing w:line="360" w:lineRule="auto"/>
        <w:jc w:val="both"/>
        <w:rPr>
          <w:bCs/>
          <w:szCs w:val="24"/>
        </w:rPr>
      </w:pPr>
      <w:r w:rsidRPr="00955347">
        <w:rPr>
          <w:bCs/>
          <w:szCs w:val="24"/>
        </w:rPr>
        <w:t>The patterns of migration towards GCC countries have mostly ‘contract’ workers also known as blue-collar jobs. In GCC Countries migrant workers won’t have the right to get permanent citizenship relatively migrants workers get permanent citizenship in the European country as well as in American countries</w:t>
      </w:r>
      <w:r w:rsidR="00E15EA4">
        <w:rPr>
          <w:bCs/>
          <w:szCs w:val="24"/>
        </w:rPr>
        <w:t>.</w:t>
      </w:r>
      <w:r w:rsidR="00E15EA4">
        <w:rPr>
          <w:rStyle w:val="EndnoteReference"/>
          <w:bCs/>
          <w:szCs w:val="24"/>
        </w:rPr>
        <w:endnoteReference w:id="3"/>
      </w:r>
      <w:r w:rsidRPr="00955347">
        <w:rPr>
          <w:bCs/>
          <w:szCs w:val="24"/>
        </w:rPr>
        <w:t>There are some important reasons behind choosing GCC Countries as destination countries for migrant workers. Two of them are the major reason for the migration towards GCC Countries. The reasons are given below:</w:t>
      </w:r>
    </w:p>
    <w:p w14:paraId="7A340BBA" w14:textId="77777777" w:rsidR="00E15EA4" w:rsidRDefault="00E15EA4" w:rsidP="00FB6ADB">
      <w:pPr>
        <w:pStyle w:val="ListParagraph"/>
        <w:numPr>
          <w:ilvl w:val="0"/>
          <w:numId w:val="4"/>
        </w:numPr>
        <w:tabs>
          <w:tab w:val="left" w:pos="142"/>
        </w:tabs>
        <w:autoSpaceDE w:val="0"/>
        <w:autoSpaceDN w:val="0"/>
        <w:adjustRightInd w:val="0"/>
        <w:spacing w:line="360" w:lineRule="auto"/>
        <w:jc w:val="both"/>
        <w:rPr>
          <w:rFonts w:ascii="Times New Roman" w:hAnsi="Times New Roman" w:cs="Times New Roman"/>
          <w:bCs/>
          <w:sz w:val="24"/>
          <w:szCs w:val="24"/>
        </w:rPr>
      </w:pPr>
      <w:r w:rsidRPr="00221CD0">
        <w:rPr>
          <w:rFonts w:ascii="Times New Roman" w:hAnsi="Times New Roman" w:cs="Times New Roman"/>
          <w:bCs/>
          <w:sz w:val="24"/>
          <w:szCs w:val="24"/>
        </w:rPr>
        <w:t xml:space="preserve">Economic </w:t>
      </w:r>
      <w:r>
        <w:rPr>
          <w:rFonts w:ascii="Times New Roman" w:hAnsi="Times New Roman" w:cs="Times New Roman"/>
          <w:bCs/>
          <w:sz w:val="24"/>
          <w:szCs w:val="24"/>
        </w:rPr>
        <w:t>Effects</w:t>
      </w:r>
    </w:p>
    <w:p w14:paraId="39B2C692" w14:textId="77777777" w:rsidR="00E15EA4" w:rsidRPr="008A4DEB" w:rsidRDefault="00E15EA4" w:rsidP="00FB6ADB">
      <w:pPr>
        <w:pStyle w:val="ListParagraph"/>
        <w:numPr>
          <w:ilvl w:val="0"/>
          <w:numId w:val="4"/>
        </w:numPr>
        <w:tabs>
          <w:tab w:val="left" w:pos="142"/>
        </w:tabs>
        <w:autoSpaceDE w:val="0"/>
        <w:autoSpaceDN w:val="0"/>
        <w:adjustRightInd w:val="0"/>
        <w:spacing w:line="360" w:lineRule="auto"/>
        <w:jc w:val="both"/>
        <w:rPr>
          <w:rFonts w:ascii="Times New Roman" w:hAnsi="Times New Roman" w:cs="Times New Roman"/>
          <w:bCs/>
          <w:sz w:val="24"/>
          <w:szCs w:val="24"/>
        </w:rPr>
      </w:pPr>
      <w:r>
        <w:rPr>
          <w:rFonts w:ascii="Times New Roman" w:hAnsi="Times New Roman" w:cs="Times New Roman"/>
          <w:bCs/>
          <w:sz w:val="24"/>
          <w:szCs w:val="24"/>
        </w:rPr>
        <w:t>Social Effects</w:t>
      </w:r>
    </w:p>
    <w:p w14:paraId="1A78AD60" w14:textId="77777777" w:rsidR="00955347" w:rsidRPr="00955347" w:rsidRDefault="00E15EA4" w:rsidP="00955347">
      <w:pPr>
        <w:tabs>
          <w:tab w:val="left" w:pos="142"/>
        </w:tabs>
        <w:autoSpaceDE w:val="0"/>
        <w:autoSpaceDN w:val="0"/>
        <w:adjustRightInd w:val="0"/>
        <w:spacing w:line="360" w:lineRule="auto"/>
        <w:jc w:val="both"/>
        <w:rPr>
          <w:bCs/>
          <w:szCs w:val="24"/>
        </w:rPr>
      </w:pPr>
      <w:r w:rsidRPr="00A32A7B">
        <w:rPr>
          <w:b/>
          <w:szCs w:val="24"/>
        </w:rPr>
        <w:t xml:space="preserve">Economic </w:t>
      </w:r>
      <w:r>
        <w:rPr>
          <w:b/>
          <w:szCs w:val="24"/>
        </w:rPr>
        <w:t>Effects-</w:t>
      </w:r>
      <w:r w:rsidR="00955347" w:rsidRPr="00955347">
        <w:rPr>
          <w:bCs/>
          <w:szCs w:val="24"/>
        </w:rPr>
        <w:t>After the oil boom in the region, many development projects and oil industries were established in the GCC region which demanded a bunch of skilled and unskilled labours for production, construction and so many other works. These demands were the main cause of the heavy migration of contract workers those who did not able to find an appropriate opportunity for employment in their origin nation opted to migrate toward GCC Countries. This type of migration is the cause of financial upliftment.</w:t>
      </w:r>
    </w:p>
    <w:p w14:paraId="22A009A7" w14:textId="77777777" w:rsidR="00955347" w:rsidRDefault="00955347" w:rsidP="00955347">
      <w:pPr>
        <w:tabs>
          <w:tab w:val="left" w:pos="142"/>
        </w:tabs>
        <w:autoSpaceDE w:val="0"/>
        <w:autoSpaceDN w:val="0"/>
        <w:adjustRightInd w:val="0"/>
        <w:spacing w:line="360" w:lineRule="auto"/>
        <w:jc w:val="both"/>
        <w:rPr>
          <w:bCs/>
          <w:szCs w:val="24"/>
        </w:rPr>
      </w:pPr>
      <w:r w:rsidRPr="00955347">
        <w:rPr>
          <w:bCs/>
          <w:szCs w:val="24"/>
        </w:rPr>
        <w:t>Labour migration from one country to another country plays a very vital role to reduce unemployment in their origin country of migrant workers. It also helps the economic growth of both country (labour-sending country and labour-receiving country), the labour-sending country is getting remittances instead of their labour force, and labour receiving country are getting the skilled labour and speed up production with the help of migrant labour force.</w:t>
      </w:r>
    </w:p>
    <w:p w14:paraId="709F13F9" w14:textId="77777777" w:rsidR="008C2ACF" w:rsidRPr="008C2ACF" w:rsidRDefault="00E15EA4" w:rsidP="008C2ACF">
      <w:pPr>
        <w:tabs>
          <w:tab w:val="left" w:pos="142"/>
        </w:tabs>
        <w:autoSpaceDE w:val="0"/>
        <w:autoSpaceDN w:val="0"/>
        <w:adjustRightInd w:val="0"/>
        <w:spacing w:line="360" w:lineRule="auto"/>
        <w:jc w:val="both"/>
        <w:rPr>
          <w:bCs/>
          <w:szCs w:val="24"/>
        </w:rPr>
      </w:pPr>
      <w:r w:rsidRPr="004E5783">
        <w:rPr>
          <w:b/>
          <w:szCs w:val="24"/>
        </w:rPr>
        <w:t xml:space="preserve">Social </w:t>
      </w:r>
      <w:r>
        <w:rPr>
          <w:b/>
          <w:szCs w:val="24"/>
        </w:rPr>
        <w:t>Effects-</w:t>
      </w:r>
      <w:r w:rsidR="008C2ACF" w:rsidRPr="008C2ACF">
        <w:rPr>
          <w:bCs/>
          <w:szCs w:val="24"/>
        </w:rPr>
        <w:t>Migration towards the Gulf region has also brought social benefits to the family of migrant workers and their dependents. The impact of this benefit can be seen in many sectors such as education, living standard, and also in the health sector. It also helps to eradicate the poverty of migrant workers and their family, and also help to live with better social status in society.</w:t>
      </w:r>
    </w:p>
    <w:p w14:paraId="21CE1C2A" w14:textId="77777777" w:rsidR="008C2ACF" w:rsidRDefault="008C2ACF" w:rsidP="008C2ACF">
      <w:pPr>
        <w:tabs>
          <w:tab w:val="left" w:pos="142"/>
        </w:tabs>
        <w:autoSpaceDE w:val="0"/>
        <w:autoSpaceDN w:val="0"/>
        <w:adjustRightInd w:val="0"/>
        <w:spacing w:line="360" w:lineRule="auto"/>
        <w:jc w:val="both"/>
        <w:rPr>
          <w:bCs/>
          <w:szCs w:val="24"/>
        </w:rPr>
      </w:pPr>
      <w:r w:rsidRPr="008C2ACF">
        <w:rPr>
          <w:bCs/>
          <w:szCs w:val="24"/>
        </w:rPr>
        <w:t xml:space="preserve">The common practice in all GCC regions is those migrant workers, who came from Western countries, are facing fewer problems than those who came from South Asia, Africa and other European countries. A similar situation for Nationals workers and also they enjoy the all basic rights which are related to workers. The salary of migrant workers who are belonging to </w:t>
      </w:r>
      <w:r w:rsidRPr="008C2ACF">
        <w:rPr>
          <w:bCs/>
          <w:szCs w:val="24"/>
        </w:rPr>
        <w:lastRenderedPageBreak/>
        <w:t>other than the Western country is comparably less than National Workers, and also less than migrant workers of the western country.</w:t>
      </w:r>
    </w:p>
    <w:p w14:paraId="7B1B2F87" w14:textId="77777777" w:rsidR="00E15EA4" w:rsidRDefault="00E15EA4" w:rsidP="008C2ACF">
      <w:pPr>
        <w:tabs>
          <w:tab w:val="left" w:pos="142"/>
        </w:tabs>
        <w:autoSpaceDE w:val="0"/>
        <w:autoSpaceDN w:val="0"/>
        <w:adjustRightInd w:val="0"/>
        <w:spacing w:line="360" w:lineRule="auto"/>
        <w:jc w:val="both"/>
        <w:rPr>
          <w:b/>
        </w:rPr>
      </w:pPr>
      <w:r w:rsidRPr="00CB5604">
        <w:rPr>
          <w:b/>
        </w:rPr>
        <w:t xml:space="preserve">Table </w:t>
      </w:r>
      <w:r>
        <w:rPr>
          <w:b/>
        </w:rPr>
        <w:t>1:</w:t>
      </w:r>
      <w:r w:rsidRPr="00CB5604">
        <w:rPr>
          <w:b/>
        </w:rPr>
        <w:t xml:space="preserve"> Average Salary of </w:t>
      </w:r>
      <w:r w:rsidR="00F8233C" w:rsidRPr="00CB5604">
        <w:rPr>
          <w:b/>
        </w:rPr>
        <w:t>Blue-Collar</w:t>
      </w:r>
      <w:r w:rsidRPr="00CB5604">
        <w:rPr>
          <w:b/>
        </w:rPr>
        <w:t xml:space="preserve"> Migrant Workers in the Gulf Countries</w:t>
      </w:r>
    </w:p>
    <w:tbl>
      <w:tblPr>
        <w:tblStyle w:val="TableGrid"/>
        <w:tblW w:w="6799" w:type="dxa"/>
        <w:tblBorders>
          <w:insideH w:val="none" w:sz="0" w:space="0" w:color="auto"/>
          <w:insideV w:val="none" w:sz="0" w:space="0" w:color="auto"/>
        </w:tblBorders>
        <w:tblLook w:val="04A0" w:firstRow="1" w:lastRow="0" w:firstColumn="1" w:lastColumn="0" w:noHBand="0" w:noVBand="1"/>
      </w:tblPr>
      <w:tblGrid>
        <w:gridCol w:w="3248"/>
        <w:gridCol w:w="3551"/>
      </w:tblGrid>
      <w:tr w:rsidR="00E15EA4" w14:paraId="5325BDFD" w14:textId="77777777" w:rsidTr="002C29E2">
        <w:trPr>
          <w:trHeight w:val="374"/>
        </w:trPr>
        <w:tc>
          <w:tcPr>
            <w:tcW w:w="3248" w:type="dxa"/>
            <w:tcBorders>
              <w:bottom w:val="single" w:sz="4" w:space="0" w:color="auto"/>
              <w:right w:val="single" w:sz="4" w:space="0" w:color="auto"/>
            </w:tcBorders>
          </w:tcPr>
          <w:p w14:paraId="5CFB37B1" w14:textId="77777777" w:rsidR="00E15EA4" w:rsidRPr="000B0792" w:rsidRDefault="00E15EA4" w:rsidP="00F2746A">
            <w:pPr>
              <w:jc w:val="center"/>
              <w:rPr>
                <w:b/>
                <w:sz w:val="22"/>
                <w:szCs w:val="22"/>
              </w:rPr>
            </w:pPr>
            <w:r w:rsidRPr="000B0792">
              <w:rPr>
                <w:sz w:val="22"/>
                <w:szCs w:val="22"/>
              </w:rPr>
              <w:t>Gulf Countries</w:t>
            </w:r>
          </w:p>
        </w:tc>
        <w:tc>
          <w:tcPr>
            <w:tcW w:w="3551" w:type="dxa"/>
            <w:tcBorders>
              <w:left w:val="single" w:sz="4" w:space="0" w:color="auto"/>
              <w:bottom w:val="single" w:sz="4" w:space="0" w:color="auto"/>
            </w:tcBorders>
          </w:tcPr>
          <w:p w14:paraId="2C945FA3" w14:textId="77777777" w:rsidR="00E15EA4" w:rsidRPr="000B0792" w:rsidRDefault="00E15EA4" w:rsidP="00F2746A">
            <w:pPr>
              <w:jc w:val="center"/>
              <w:rPr>
                <w:b/>
                <w:sz w:val="22"/>
                <w:szCs w:val="22"/>
              </w:rPr>
            </w:pPr>
            <w:r w:rsidRPr="000B0792">
              <w:rPr>
                <w:sz w:val="22"/>
                <w:szCs w:val="22"/>
              </w:rPr>
              <w:t xml:space="preserve">Average Salary </w:t>
            </w:r>
            <w:r w:rsidR="00F8233C" w:rsidRPr="000B0792">
              <w:rPr>
                <w:sz w:val="22"/>
                <w:szCs w:val="22"/>
              </w:rPr>
              <w:t>of</w:t>
            </w:r>
            <w:r w:rsidRPr="000B0792">
              <w:rPr>
                <w:sz w:val="22"/>
                <w:szCs w:val="22"/>
              </w:rPr>
              <w:t xml:space="preserve"> Migrants In US$</w:t>
            </w:r>
          </w:p>
        </w:tc>
      </w:tr>
      <w:tr w:rsidR="00E15EA4" w14:paraId="1A50AD3B" w14:textId="77777777" w:rsidTr="002C29E2">
        <w:trPr>
          <w:trHeight w:val="374"/>
        </w:trPr>
        <w:tc>
          <w:tcPr>
            <w:tcW w:w="3248" w:type="dxa"/>
            <w:tcBorders>
              <w:top w:val="single" w:sz="4" w:space="0" w:color="auto"/>
              <w:bottom w:val="single" w:sz="4" w:space="0" w:color="auto"/>
              <w:right w:val="single" w:sz="4" w:space="0" w:color="auto"/>
            </w:tcBorders>
          </w:tcPr>
          <w:p w14:paraId="69F68194" w14:textId="77777777" w:rsidR="00E15EA4" w:rsidRPr="000B0792" w:rsidRDefault="00E15EA4" w:rsidP="00F2746A">
            <w:pPr>
              <w:jc w:val="center"/>
              <w:rPr>
                <w:b/>
                <w:sz w:val="22"/>
                <w:szCs w:val="22"/>
              </w:rPr>
            </w:pPr>
            <w:r w:rsidRPr="00DB39E9">
              <w:rPr>
                <w:sz w:val="22"/>
                <w:szCs w:val="22"/>
              </w:rPr>
              <w:t>Qatar</w:t>
            </w:r>
          </w:p>
        </w:tc>
        <w:tc>
          <w:tcPr>
            <w:tcW w:w="3551" w:type="dxa"/>
            <w:tcBorders>
              <w:top w:val="single" w:sz="4" w:space="0" w:color="auto"/>
              <w:left w:val="single" w:sz="4" w:space="0" w:color="auto"/>
              <w:bottom w:val="single" w:sz="4" w:space="0" w:color="auto"/>
            </w:tcBorders>
          </w:tcPr>
          <w:p w14:paraId="30D5EF78" w14:textId="77777777" w:rsidR="00E15EA4" w:rsidRPr="000B0792" w:rsidRDefault="00E15EA4" w:rsidP="00F2746A">
            <w:pPr>
              <w:jc w:val="center"/>
              <w:rPr>
                <w:b/>
                <w:sz w:val="22"/>
                <w:szCs w:val="22"/>
              </w:rPr>
            </w:pPr>
            <w:r w:rsidRPr="000B0792">
              <w:rPr>
                <w:sz w:val="22"/>
                <w:szCs w:val="22"/>
              </w:rPr>
              <w:t>US$464</w:t>
            </w:r>
          </w:p>
        </w:tc>
      </w:tr>
      <w:tr w:rsidR="00E15EA4" w14:paraId="37E84ABF" w14:textId="77777777" w:rsidTr="002C29E2">
        <w:trPr>
          <w:trHeight w:val="374"/>
        </w:trPr>
        <w:tc>
          <w:tcPr>
            <w:tcW w:w="3248" w:type="dxa"/>
            <w:tcBorders>
              <w:top w:val="single" w:sz="4" w:space="0" w:color="auto"/>
              <w:bottom w:val="single" w:sz="4" w:space="0" w:color="auto"/>
              <w:right w:val="single" w:sz="4" w:space="0" w:color="auto"/>
            </w:tcBorders>
          </w:tcPr>
          <w:p w14:paraId="241273B9" w14:textId="77777777" w:rsidR="00E15EA4" w:rsidRPr="000B0792" w:rsidRDefault="00E15EA4" w:rsidP="00F2746A">
            <w:pPr>
              <w:jc w:val="center"/>
              <w:rPr>
                <w:b/>
                <w:sz w:val="22"/>
                <w:szCs w:val="22"/>
              </w:rPr>
            </w:pPr>
            <w:r w:rsidRPr="000B0792">
              <w:rPr>
                <w:sz w:val="22"/>
                <w:szCs w:val="22"/>
              </w:rPr>
              <w:t>Kuwait</w:t>
            </w:r>
          </w:p>
        </w:tc>
        <w:tc>
          <w:tcPr>
            <w:tcW w:w="3551" w:type="dxa"/>
            <w:tcBorders>
              <w:top w:val="single" w:sz="4" w:space="0" w:color="auto"/>
              <w:left w:val="single" w:sz="4" w:space="0" w:color="auto"/>
              <w:bottom w:val="single" w:sz="4" w:space="0" w:color="auto"/>
            </w:tcBorders>
          </w:tcPr>
          <w:p w14:paraId="72EE3807" w14:textId="77777777" w:rsidR="00E15EA4" w:rsidRPr="000B0792" w:rsidRDefault="00E15EA4" w:rsidP="00F2746A">
            <w:pPr>
              <w:jc w:val="center"/>
              <w:rPr>
                <w:sz w:val="22"/>
                <w:szCs w:val="22"/>
              </w:rPr>
            </w:pPr>
            <w:r w:rsidRPr="000B0792">
              <w:rPr>
                <w:sz w:val="22"/>
                <w:szCs w:val="22"/>
              </w:rPr>
              <w:t>US$432</w:t>
            </w:r>
          </w:p>
        </w:tc>
      </w:tr>
      <w:tr w:rsidR="00E15EA4" w14:paraId="0168B4FA" w14:textId="77777777" w:rsidTr="002C29E2">
        <w:trPr>
          <w:trHeight w:val="389"/>
        </w:trPr>
        <w:tc>
          <w:tcPr>
            <w:tcW w:w="3248" w:type="dxa"/>
            <w:tcBorders>
              <w:top w:val="single" w:sz="4" w:space="0" w:color="auto"/>
              <w:bottom w:val="single" w:sz="4" w:space="0" w:color="auto"/>
              <w:right w:val="single" w:sz="4" w:space="0" w:color="auto"/>
            </w:tcBorders>
          </w:tcPr>
          <w:p w14:paraId="658851EF" w14:textId="77777777" w:rsidR="00E15EA4" w:rsidRPr="000B0792" w:rsidRDefault="00E15EA4" w:rsidP="00F2746A">
            <w:pPr>
              <w:jc w:val="center"/>
              <w:rPr>
                <w:b/>
                <w:sz w:val="22"/>
                <w:szCs w:val="22"/>
              </w:rPr>
            </w:pPr>
            <w:r w:rsidRPr="000B0792">
              <w:rPr>
                <w:sz w:val="22"/>
                <w:szCs w:val="22"/>
              </w:rPr>
              <w:t>Bahrain</w:t>
            </w:r>
          </w:p>
        </w:tc>
        <w:tc>
          <w:tcPr>
            <w:tcW w:w="3551" w:type="dxa"/>
            <w:tcBorders>
              <w:top w:val="single" w:sz="4" w:space="0" w:color="auto"/>
              <w:left w:val="single" w:sz="4" w:space="0" w:color="auto"/>
              <w:bottom w:val="single" w:sz="4" w:space="0" w:color="auto"/>
            </w:tcBorders>
          </w:tcPr>
          <w:p w14:paraId="39BC21C7" w14:textId="77777777" w:rsidR="00E15EA4" w:rsidRPr="000B0792" w:rsidRDefault="00E15EA4" w:rsidP="00F2746A">
            <w:pPr>
              <w:jc w:val="center"/>
              <w:rPr>
                <w:b/>
                <w:sz w:val="22"/>
                <w:szCs w:val="22"/>
              </w:rPr>
            </w:pPr>
            <w:r w:rsidRPr="000B0792">
              <w:rPr>
                <w:sz w:val="22"/>
                <w:szCs w:val="22"/>
              </w:rPr>
              <w:t>US$323</w:t>
            </w:r>
          </w:p>
        </w:tc>
      </w:tr>
      <w:tr w:rsidR="00E15EA4" w14:paraId="297AA4CE" w14:textId="77777777" w:rsidTr="002C29E2">
        <w:trPr>
          <w:trHeight w:val="374"/>
        </w:trPr>
        <w:tc>
          <w:tcPr>
            <w:tcW w:w="3248" w:type="dxa"/>
            <w:tcBorders>
              <w:top w:val="single" w:sz="4" w:space="0" w:color="auto"/>
              <w:bottom w:val="single" w:sz="4" w:space="0" w:color="auto"/>
              <w:right w:val="single" w:sz="4" w:space="0" w:color="auto"/>
            </w:tcBorders>
          </w:tcPr>
          <w:p w14:paraId="28F37A97" w14:textId="77777777" w:rsidR="00E15EA4" w:rsidRPr="000B0792" w:rsidRDefault="00E15EA4" w:rsidP="00F2746A">
            <w:pPr>
              <w:jc w:val="center"/>
              <w:rPr>
                <w:b/>
                <w:sz w:val="22"/>
                <w:szCs w:val="22"/>
              </w:rPr>
            </w:pPr>
            <w:r w:rsidRPr="000B0792">
              <w:rPr>
                <w:sz w:val="22"/>
                <w:szCs w:val="22"/>
              </w:rPr>
              <w:t>Oman</w:t>
            </w:r>
          </w:p>
        </w:tc>
        <w:tc>
          <w:tcPr>
            <w:tcW w:w="3551" w:type="dxa"/>
            <w:tcBorders>
              <w:top w:val="single" w:sz="4" w:space="0" w:color="auto"/>
              <w:left w:val="single" w:sz="4" w:space="0" w:color="auto"/>
              <w:bottom w:val="single" w:sz="4" w:space="0" w:color="auto"/>
            </w:tcBorders>
          </w:tcPr>
          <w:p w14:paraId="1FB2CD4C" w14:textId="77777777" w:rsidR="00E15EA4" w:rsidRPr="000B0792" w:rsidRDefault="00E15EA4" w:rsidP="00F2746A">
            <w:pPr>
              <w:jc w:val="center"/>
              <w:rPr>
                <w:b/>
                <w:sz w:val="22"/>
                <w:szCs w:val="22"/>
              </w:rPr>
            </w:pPr>
            <w:r w:rsidRPr="000B0792">
              <w:rPr>
                <w:sz w:val="22"/>
                <w:szCs w:val="22"/>
              </w:rPr>
              <w:t>US$270</w:t>
            </w:r>
          </w:p>
        </w:tc>
      </w:tr>
      <w:tr w:rsidR="00E15EA4" w14:paraId="0031DC10" w14:textId="77777777" w:rsidTr="002C29E2">
        <w:trPr>
          <w:trHeight w:val="361"/>
        </w:trPr>
        <w:tc>
          <w:tcPr>
            <w:tcW w:w="3248" w:type="dxa"/>
            <w:tcBorders>
              <w:top w:val="single" w:sz="4" w:space="0" w:color="auto"/>
              <w:right w:val="single" w:sz="4" w:space="0" w:color="auto"/>
            </w:tcBorders>
          </w:tcPr>
          <w:p w14:paraId="611139E7" w14:textId="77777777" w:rsidR="00E15EA4" w:rsidRPr="000B0792" w:rsidRDefault="00E15EA4" w:rsidP="00F2746A">
            <w:pPr>
              <w:jc w:val="center"/>
              <w:rPr>
                <w:b/>
                <w:sz w:val="22"/>
                <w:szCs w:val="22"/>
              </w:rPr>
            </w:pPr>
            <w:r w:rsidRPr="000B0792">
              <w:rPr>
                <w:sz w:val="22"/>
                <w:szCs w:val="22"/>
              </w:rPr>
              <w:t>Saudi Arabia</w:t>
            </w:r>
          </w:p>
        </w:tc>
        <w:tc>
          <w:tcPr>
            <w:tcW w:w="3551" w:type="dxa"/>
            <w:tcBorders>
              <w:top w:val="single" w:sz="4" w:space="0" w:color="auto"/>
              <w:left w:val="single" w:sz="4" w:space="0" w:color="auto"/>
            </w:tcBorders>
          </w:tcPr>
          <w:p w14:paraId="6CE74AEA" w14:textId="77777777" w:rsidR="00E15EA4" w:rsidRPr="000B0792" w:rsidRDefault="00E15EA4" w:rsidP="00F2746A">
            <w:pPr>
              <w:jc w:val="center"/>
              <w:rPr>
                <w:b/>
                <w:sz w:val="22"/>
                <w:szCs w:val="22"/>
              </w:rPr>
            </w:pPr>
            <w:r w:rsidRPr="000B0792">
              <w:rPr>
                <w:sz w:val="22"/>
                <w:szCs w:val="22"/>
              </w:rPr>
              <w:t>US$221</w:t>
            </w:r>
          </w:p>
        </w:tc>
      </w:tr>
    </w:tbl>
    <w:p w14:paraId="13D3F867" w14:textId="77777777" w:rsidR="00E15EA4" w:rsidRPr="00F07F24" w:rsidRDefault="00E15EA4" w:rsidP="008A46DC">
      <w:pPr>
        <w:ind w:right="379"/>
        <w:jc w:val="both"/>
        <w:rPr>
          <w:sz w:val="19"/>
          <w:szCs w:val="19"/>
        </w:rPr>
      </w:pPr>
      <w:proofErr w:type="spellStart"/>
      <w:r w:rsidRPr="00F07F24">
        <w:rPr>
          <w:sz w:val="19"/>
          <w:szCs w:val="19"/>
        </w:rPr>
        <w:t>Source:Abdoulay</w:t>
      </w:r>
      <w:proofErr w:type="spellEnd"/>
      <w:r w:rsidRPr="00F07F24">
        <w:rPr>
          <w:sz w:val="19"/>
          <w:szCs w:val="19"/>
        </w:rPr>
        <w:t xml:space="preserve"> Diop, </w:t>
      </w:r>
      <w:proofErr w:type="spellStart"/>
      <w:r w:rsidRPr="00F07F24">
        <w:rPr>
          <w:sz w:val="19"/>
          <w:szCs w:val="19"/>
        </w:rPr>
        <w:t>KienTrung</w:t>
      </w:r>
      <w:proofErr w:type="spellEnd"/>
      <w:r w:rsidRPr="00F07F24">
        <w:rPr>
          <w:sz w:val="19"/>
          <w:szCs w:val="19"/>
        </w:rPr>
        <w:t xml:space="preserve"> Le, and Michael </w:t>
      </w:r>
      <w:proofErr w:type="spellStart"/>
      <w:r w:rsidRPr="00F07F24">
        <w:rPr>
          <w:sz w:val="19"/>
          <w:szCs w:val="19"/>
        </w:rPr>
        <w:t>C.Ewers</w:t>
      </w:r>
      <w:proofErr w:type="spellEnd"/>
      <w:r w:rsidRPr="00F07F24">
        <w:rPr>
          <w:sz w:val="19"/>
          <w:szCs w:val="19"/>
        </w:rPr>
        <w:t xml:space="preserve">, </w:t>
      </w:r>
      <w:r w:rsidRPr="00F07F24">
        <w:rPr>
          <w:i/>
          <w:sz w:val="19"/>
          <w:szCs w:val="19"/>
        </w:rPr>
        <w:t>India Migration Report</w:t>
      </w:r>
      <w:r w:rsidRPr="00F07F24">
        <w:rPr>
          <w:sz w:val="19"/>
          <w:szCs w:val="19"/>
        </w:rPr>
        <w:t xml:space="preserve"> 2016 (Routledge) Edited by </w:t>
      </w:r>
      <w:proofErr w:type="spellStart"/>
      <w:r w:rsidRPr="00F07F24">
        <w:rPr>
          <w:sz w:val="19"/>
          <w:szCs w:val="19"/>
        </w:rPr>
        <w:t>S.IrudayaRajan</w:t>
      </w:r>
      <w:proofErr w:type="spellEnd"/>
      <w:r w:rsidRPr="00F07F24">
        <w:rPr>
          <w:sz w:val="19"/>
          <w:szCs w:val="19"/>
        </w:rPr>
        <w:t>. P, 78</w:t>
      </w:r>
    </w:p>
    <w:p w14:paraId="45ED4FCD" w14:textId="77777777" w:rsidR="00E15EA4" w:rsidRDefault="008C2ACF" w:rsidP="00805227">
      <w:pPr>
        <w:spacing w:line="360" w:lineRule="auto"/>
        <w:jc w:val="both"/>
      </w:pPr>
      <w:r w:rsidRPr="008C2ACF">
        <w:t xml:space="preserve">This data </w:t>
      </w:r>
      <w:r w:rsidR="00F8233C" w:rsidRPr="008C2ACF">
        <w:t>represents</w:t>
      </w:r>
      <w:r w:rsidRPr="008C2ACF">
        <w:t xml:space="preserve"> the </w:t>
      </w:r>
      <w:r w:rsidR="00F8233C" w:rsidRPr="008C2ACF">
        <w:t>all-foreign</w:t>
      </w:r>
      <w:r w:rsidRPr="008C2ACF">
        <w:t xml:space="preserve"> labour force in GCC Countries, but mostly focused on South Asian migrant workers. Most of them are unskilled workers and some are semi-skilled workers those are working in construction work, mining, sanitation, manufacturing custodial work, oil field work, mechanics, maintenance, warehousing, firefighting, water in the cafeteria etc</w:t>
      </w:r>
      <w:r w:rsidR="00E15EA4">
        <w:t>.</w:t>
      </w:r>
      <w:r w:rsidR="00E15EA4">
        <w:rPr>
          <w:rStyle w:val="EndnoteReference"/>
        </w:rPr>
        <w:endnoteReference w:id="4"/>
      </w:r>
    </w:p>
    <w:p w14:paraId="3C1B3F26" w14:textId="77777777" w:rsidR="00E15EA4" w:rsidRDefault="008C2ACF" w:rsidP="00392FB4">
      <w:pPr>
        <w:spacing w:line="360" w:lineRule="auto"/>
        <w:jc w:val="both"/>
      </w:pPr>
      <w:r w:rsidRPr="008C2ACF">
        <w:t>Table 1 demonstrates how Saudi Arabian authorities and the sponsor (</w:t>
      </w:r>
      <w:proofErr w:type="spellStart"/>
      <w:r w:rsidRPr="008C2ACF">
        <w:t>kafeel</w:t>
      </w:r>
      <w:proofErr w:type="spellEnd"/>
      <w:r w:rsidRPr="008C2ACF">
        <w:t>) of migrant workers pay minimum wage compared to other Gulf countries. Here this data revealed only the monthly salary that is earned by migrants workers did not include the other allowances such as transportation costs, accommodation allowance, electricity bills, and water bill which generally given by employers to employee</w:t>
      </w:r>
      <w:r w:rsidR="00E15EA4">
        <w:t>.</w:t>
      </w:r>
      <w:r w:rsidR="00E15EA4">
        <w:rPr>
          <w:rStyle w:val="EndnoteReference"/>
        </w:rPr>
        <w:endnoteReference w:id="5"/>
      </w:r>
    </w:p>
    <w:p w14:paraId="7C527263" w14:textId="77777777" w:rsidR="00E15EA4" w:rsidRPr="00B559A9" w:rsidRDefault="00E15EA4" w:rsidP="00B559A9">
      <w:pPr>
        <w:spacing w:line="360" w:lineRule="auto"/>
        <w:rPr>
          <w:b/>
        </w:rPr>
      </w:pPr>
      <w:r>
        <w:rPr>
          <w:b/>
        </w:rPr>
        <w:t>Table 2</w:t>
      </w:r>
      <w:r w:rsidRPr="00B559A9">
        <w:rPr>
          <w:b/>
        </w:rPr>
        <w:t xml:space="preserve">: Percentage of Social Beneficiaries of migrant workers </w:t>
      </w:r>
      <w:r>
        <w:rPr>
          <w:b/>
        </w:rPr>
        <w:t xml:space="preserve">in </w:t>
      </w:r>
      <w:r w:rsidRPr="00B559A9">
        <w:rPr>
          <w:b/>
        </w:rPr>
        <w:t>Gulf countries</w:t>
      </w:r>
    </w:p>
    <w:tbl>
      <w:tblPr>
        <w:tblStyle w:val="TableGrid"/>
        <w:tblW w:w="6931" w:type="dxa"/>
        <w:tblInd w:w="435" w:type="dxa"/>
        <w:tblLook w:val="04A0" w:firstRow="1" w:lastRow="0" w:firstColumn="1" w:lastColumn="0" w:noHBand="0" w:noVBand="1"/>
      </w:tblPr>
      <w:tblGrid>
        <w:gridCol w:w="1121"/>
        <w:gridCol w:w="977"/>
        <w:gridCol w:w="944"/>
        <w:gridCol w:w="1010"/>
        <w:gridCol w:w="902"/>
        <w:gridCol w:w="870"/>
        <w:gridCol w:w="1107"/>
      </w:tblGrid>
      <w:tr w:rsidR="00E15EA4" w14:paraId="52A1BA5E" w14:textId="77777777" w:rsidTr="009D615F">
        <w:trPr>
          <w:trHeight w:val="533"/>
        </w:trPr>
        <w:tc>
          <w:tcPr>
            <w:tcW w:w="1121" w:type="dxa"/>
          </w:tcPr>
          <w:p w14:paraId="01FB3B27" w14:textId="77777777" w:rsidR="00E15EA4" w:rsidRPr="00D043C8" w:rsidRDefault="00E15EA4" w:rsidP="00CA5B63">
            <w:pPr>
              <w:spacing w:after="100" w:afterAutospacing="1"/>
              <w:jc w:val="center"/>
              <w:rPr>
                <w:sz w:val="20"/>
              </w:rPr>
            </w:pPr>
            <w:r w:rsidRPr="00D043C8">
              <w:rPr>
                <w:sz w:val="20"/>
              </w:rPr>
              <w:t>Name of benefit</w:t>
            </w:r>
            <w:r>
              <w:rPr>
                <w:sz w:val="20"/>
              </w:rPr>
              <w:t>s</w:t>
            </w:r>
          </w:p>
        </w:tc>
        <w:tc>
          <w:tcPr>
            <w:tcW w:w="977" w:type="dxa"/>
          </w:tcPr>
          <w:p w14:paraId="1E18EBF6" w14:textId="77777777" w:rsidR="00E15EA4" w:rsidRPr="00D043C8" w:rsidRDefault="00E15EA4" w:rsidP="00000123">
            <w:pPr>
              <w:spacing w:after="100" w:afterAutospacing="1" w:line="276" w:lineRule="auto"/>
              <w:jc w:val="center"/>
              <w:rPr>
                <w:sz w:val="20"/>
              </w:rPr>
            </w:pPr>
            <w:r w:rsidRPr="00D043C8">
              <w:rPr>
                <w:sz w:val="20"/>
              </w:rPr>
              <w:t>Kuwait</w:t>
            </w:r>
          </w:p>
        </w:tc>
        <w:tc>
          <w:tcPr>
            <w:tcW w:w="944" w:type="dxa"/>
          </w:tcPr>
          <w:p w14:paraId="3D20F6F7" w14:textId="77777777" w:rsidR="00E15EA4" w:rsidRPr="00D043C8" w:rsidRDefault="00E15EA4" w:rsidP="00000123">
            <w:pPr>
              <w:spacing w:after="100" w:afterAutospacing="1" w:line="276" w:lineRule="auto"/>
              <w:jc w:val="center"/>
              <w:rPr>
                <w:sz w:val="20"/>
              </w:rPr>
            </w:pPr>
            <w:r w:rsidRPr="00D043C8">
              <w:rPr>
                <w:sz w:val="20"/>
              </w:rPr>
              <w:t>Saudi Arabia</w:t>
            </w:r>
          </w:p>
        </w:tc>
        <w:tc>
          <w:tcPr>
            <w:tcW w:w="1010" w:type="dxa"/>
          </w:tcPr>
          <w:p w14:paraId="34AF2DDC" w14:textId="77777777" w:rsidR="00E15EA4" w:rsidRPr="00D043C8" w:rsidRDefault="00E15EA4" w:rsidP="00000123">
            <w:pPr>
              <w:spacing w:after="100" w:afterAutospacing="1" w:line="276" w:lineRule="auto"/>
              <w:jc w:val="center"/>
              <w:rPr>
                <w:sz w:val="20"/>
              </w:rPr>
            </w:pPr>
            <w:r w:rsidRPr="00D043C8">
              <w:rPr>
                <w:sz w:val="20"/>
              </w:rPr>
              <w:t>Bahrain</w:t>
            </w:r>
          </w:p>
        </w:tc>
        <w:tc>
          <w:tcPr>
            <w:tcW w:w="902" w:type="dxa"/>
          </w:tcPr>
          <w:p w14:paraId="3F7F1961" w14:textId="77777777" w:rsidR="00E15EA4" w:rsidRPr="00D043C8" w:rsidRDefault="00E15EA4" w:rsidP="00000123">
            <w:pPr>
              <w:spacing w:after="100" w:afterAutospacing="1" w:line="276" w:lineRule="auto"/>
              <w:jc w:val="center"/>
              <w:rPr>
                <w:sz w:val="20"/>
              </w:rPr>
            </w:pPr>
            <w:r w:rsidRPr="00D043C8">
              <w:rPr>
                <w:sz w:val="20"/>
              </w:rPr>
              <w:t>Oman</w:t>
            </w:r>
          </w:p>
        </w:tc>
        <w:tc>
          <w:tcPr>
            <w:tcW w:w="870" w:type="dxa"/>
          </w:tcPr>
          <w:p w14:paraId="09FD6A85" w14:textId="77777777" w:rsidR="00E15EA4" w:rsidRPr="00D043C8" w:rsidRDefault="00E15EA4" w:rsidP="00000123">
            <w:pPr>
              <w:spacing w:after="100" w:afterAutospacing="1" w:line="276" w:lineRule="auto"/>
              <w:jc w:val="center"/>
              <w:rPr>
                <w:sz w:val="20"/>
              </w:rPr>
            </w:pPr>
            <w:r w:rsidRPr="00D043C8">
              <w:rPr>
                <w:sz w:val="20"/>
              </w:rPr>
              <w:t>Qatar</w:t>
            </w:r>
          </w:p>
        </w:tc>
        <w:tc>
          <w:tcPr>
            <w:tcW w:w="1107" w:type="dxa"/>
          </w:tcPr>
          <w:p w14:paraId="59EC2058" w14:textId="77777777" w:rsidR="00E15EA4" w:rsidRPr="00D043C8" w:rsidRDefault="00E15EA4" w:rsidP="00000123">
            <w:pPr>
              <w:spacing w:after="100" w:afterAutospacing="1" w:line="276" w:lineRule="auto"/>
              <w:jc w:val="center"/>
              <w:rPr>
                <w:sz w:val="20"/>
              </w:rPr>
            </w:pPr>
            <w:r w:rsidRPr="00D043C8">
              <w:rPr>
                <w:sz w:val="20"/>
              </w:rPr>
              <w:t>Average</w:t>
            </w:r>
          </w:p>
        </w:tc>
      </w:tr>
      <w:tr w:rsidR="00E15EA4" w14:paraId="6862BFDB" w14:textId="77777777" w:rsidTr="009D615F">
        <w:trPr>
          <w:trHeight w:val="515"/>
        </w:trPr>
        <w:tc>
          <w:tcPr>
            <w:tcW w:w="1121" w:type="dxa"/>
          </w:tcPr>
          <w:p w14:paraId="21777F4B" w14:textId="77777777" w:rsidR="00E15EA4" w:rsidRPr="00D043C8" w:rsidRDefault="00E15EA4" w:rsidP="00CA5B63">
            <w:pPr>
              <w:spacing w:after="100" w:afterAutospacing="1"/>
              <w:jc w:val="center"/>
              <w:rPr>
                <w:sz w:val="20"/>
              </w:rPr>
            </w:pPr>
            <w:r w:rsidRPr="00D043C8">
              <w:rPr>
                <w:sz w:val="20"/>
              </w:rPr>
              <w:t>Food allowance</w:t>
            </w:r>
          </w:p>
        </w:tc>
        <w:tc>
          <w:tcPr>
            <w:tcW w:w="977" w:type="dxa"/>
          </w:tcPr>
          <w:p w14:paraId="005B1D3E" w14:textId="77777777" w:rsidR="00E15EA4" w:rsidRPr="00D043C8" w:rsidRDefault="00E15EA4" w:rsidP="00000123">
            <w:pPr>
              <w:spacing w:after="100" w:afterAutospacing="1" w:line="360" w:lineRule="auto"/>
              <w:jc w:val="center"/>
              <w:rPr>
                <w:sz w:val="20"/>
              </w:rPr>
            </w:pPr>
            <w:r w:rsidRPr="00D043C8">
              <w:rPr>
                <w:sz w:val="20"/>
              </w:rPr>
              <w:t>10</w:t>
            </w:r>
          </w:p>
        </w:tc>
        <w:tc>
          <w:tcPr>
            <w:tcW w:w="944" w:type="dxa"/>
          </w:tcPr>
          <w:p w14:paraId="427D8174" w14:textId="77777777" w:rsidR="00E15EA4" w:rsidRPr="00D043C8" w:rsidRDefault="00E15EA4" w:rsidP="00000123">
            <w:pPr>
              <w:spacing w:after="100" w:afterAutospacing="1" w:line="360" w:lineRule="auto"/>
              <w:jc w:val="center"/>
              <w:rPr>
                <w:sz w:val="20"/>
              </w:rPr>
            </w:pPr>
            <w:r w:rsidRPr="00D043C8">
              <w:rPr>
                <w:sz w:val="20"/>
              </w:rPr>
              <w:t>35</w:t>
            </w:r>
          </w:p>
        </w:tc>
        <w:tc>
          <w:tcPr>
            <w:tcW w:w="1010" w:type="dxa"/>
          </w:tcPr>
          <w:p w14:paraId="63DC263E" w14:textId="77777777" w:rsidR="00E15EA4" w:rsidRPr="00D043C8" w:rsidRDefault="00E15EA4" w:rsidP="00000123">
            <w:pPr>
              <w:spacing w:after="100" w:afterAutospacing="1" w:line="360" w:lineRule="auto"/>
              <w:jc w:val="center"/>
              <w:rPr>
                <w:sz w:val="20"/>
              </w:rPr>
            </w:pPr>
            <w:r w:rsidRPr="00D043C8">
              <w:rPr>
                <w:sz w:val="20"/>
              </w:rPr>
              <w:t>11</w:t>
            </w:r>
          </w:p>
        </w:tc>
        <w:tc>
          <w:tcPr>
            <w:tcW w:w="902" w:type="dxa"/>
          </w:tcPr>
          <w:p w14:paraId="0FB3FE5B" w14:textId="77777777" w:rsidR="00E15EA4" w:rsidRPr="00D043C8" w:rsidRDefault="00E15EA4" w:rsidP="00000123">
            <w:pPr>
              <w:spacing w:after="100" w:afterAutospacing="1" w:line="360" w:lineRule="auto"/>
              <w:jc w:val="center"/>
              <w:rPr>
                <w:sz w:val="20"/>
              </w:rPr>
            </w:pPr>
            <w:r w:rsidRPr="00D043C8">
              <w:rPr>
                <w:sz w:val="20"/>
              </w:rPr>
              <w:t>78</w:t>
            </w:r>
          </w:p>
        </w:tc>
        <w:tc>
          <w:tcPr>
            <w:tcW w:w="870" w:type="dxa"/>
          </w:tcPr>
          <w:p w14:paraId="073196C5" w14:textId="77777777" w:rsidR="00E15EA4" w:rsidRPr="00D043C8" w:rsidRDefault="00E15EA4" w:rsidP="00000123">
            <w:pPr>
              <w:spacing w:after="100" w:afterAutospacing="1" w:line="360" w:lineRule="auto"/>
              <w:jc w:val="center"/>
              <w:rPr>
                <w:sz w:val="20"/>
              </w:rPr>
            </w:pPr>
            <w:r w:rsidRPr="00D043C8">
              <w:rPr>
                <w:sz w:val="20"/>
              </w:rPr>
              <w:t>22</w:t>
            </w:r>
          </w:p>
        </w:tc>
        <w:tc>
          <w:tcPr>
            <w:tcW w:w="1107" w:type="dxa"/>
          </w:tcPr>
          <w:p w14:paraId="1471AF67" w14:textId="77777777" w:rsidR="00E15EA4" w:rsidRPr="00D043C8" w:rsidRDefault="00E15EA4" w:rsidP="00000123">
            <w:pPr>
              <w:spacing w:after="100" w:afterAutospacing="1"/>
              <w:jc w:val="center"/>
              <w:rPr>
                <w:sz w:val="20"/>
              </w:rPr>
            </w:pPr>
            <w:r w:rsidRPr="00D043C8">
              <w:rPr>
                <w:sz w:val="20"/>
              </w:rPr>
              <w:t>31</w:t>
            </w:r>
          </w:p>
        </w:tc>
      </w:tr>
      <w:tr w:rsidR="00E15EA4" w14:paraId="7D78C4A0" w14:textId="77777777" w:rsidTr="009D615F">
        <w:trPr>
          <w:trHeight w:val="525"/>
        </w:trPr>
        <w:tc>
          <w:tcPr>
            <w:tcW w:w="1121" w:type="dxa"/>
          </w:tcPr>
          <w:p w14:paraId="2F6732AA" w14:textId="77777777" w:rsidR="00E15EA4" w:rsidRPr="00D043C8" w:rsidRDefault="00E15EA4" w:rsidP="00CA5B63">
            <w:pPr>
              <w:spacing w:after="100" w:afterAutospacing="1"/>
              <w:jc w:val="center"/>
              <w:rPr>
                <w:sz w:val="20"/>
              </w:rPr>
            </w:pPr>
            <w:r w:rsidRPr="00D043C8">
              <w:rPr>
                <w:sz w:val="20"/>
              </w:rPr>
              <w:t>Health insurance</w:t>
            </w:r>
          </w:p>
        </w:tc>
        <w:tc>
          <w:tcPr>
            <w:tcW w:w="977" w:type="dxa"/>
          </w:tcPr>
          <w:p w14:paraId="250F7223" w14:textId="77777777" w:rsidR="00E15EA4" w:rsidRPr="00D043C8" w:rsidRDefault="00E15EA4" w:rsidP="00000123">
            <w:pPr>
              <w:spacing w:after="100" w:afterAutospacing="1" w:line="360" w:lineRule="auto"/>
              <w:jc w:val="center"/>
              <w:rPr>
                <w:sz w:val="20"/>
              </w:rPr>
            </w:pPr>
            <w:r w:rsidRPr="00D043C8">
              <w:rPr>
                <w:sz w:val="20"/>
              </w:rPr>
              <w:t>52</w:t>
            </w:r>
          </w:p>
        </w:tc>
        <w:tc>
          <w:tcPr>
            <w:tcW w:w="944" w:type="dxa"/>
          </w:tcPr>
          <w:p w14:paraId="5C9A5C0A" w14:textId="77777777" w:rsidR="00E15EA4" w:rsidRPr="00D043C8" w:rsidRDefault="00E15EA4" w:rsidP="00000123">
            <w:pPr>
              <w:spacing w:after="100" w:afterAutospacing="1" w:line="360" w:lineRule="auto"/>
              <w:jc w:val="center"/>
              <w:rPr>
                <w:sz w:val="20"/>
              </w:rPr>
            </w:pPr>
            <w:r w:rsidRPr="00D043C8">
              <w:rPr>
                <w:sz w:val="20"/>
              </w:rPr>
              <w:t>79</w:t>
            </w:r>
          </w:p>
        </w:tc>
        <w:tc>
          <w:tcPr>
            <w:tcW w:w="1010" w:type="dxa"/>
          </w:tcPr>
          <w:p w14:paraId="28C9D5BC" w14:textId="77777777" w:rsidR="00E15EA4" w:rsidRPr="00D043C8" w:rsidRDefault="00E15EA4" w:rsidP="00000123">
            <w:pPr>
              <w:spacing w:after="100" w:afterAutospacing="1" w:line="360" w:lineRule="auto"/>
              <w:jc w:val="center"/>
              <w:rPr>
                <w:sz w:val="20"/>
              </w:rPr>
            </w:pPr>
            <w:r w:rsidRPr="00D043C8">
              <w:rPr>
                <w:sz w:val="20"/>
              </w:rPr>
              <w:t>22</w:t>
            </w:r>
          </w:p>
        </w:tc>
        <w:tc>
          <w:tcPr>
            <w:tcW w:w="902" w:type="dxa"/>
          </w:tcPr>
          <w:p w14:paraId="62194890" w14:textId="77777777" w:rsidR="00E15EA4" w:rsidRPr="00D043C8" w:rsidRDefault="00E15EA4" w:rsidP="00000123">
            <w:pPr>
              <w:spacing w:after="100" w:afterAutospacing="1" w:line="360" w:lineRule="auto"/>
              <w:jc w:val="center"/>
              <w:rPr>
                <w:sz w:val="20"/>
              </w:rPr>
            </w:pPr>
            <w:r w:rsidRPr="00D043C8">
              <w:rPr>
                <w:sz w:val="20"/>
              </w:rPr>
              <w:t>77</w:t>
            </w:r>
          </w:p>
        </w:tc>
        <w:tc>
          <w:tcPr>
            <w:tcW w:w="870" w:type="dxa"/>
          </w:tcPr>
          <w:p w14:paraId="7F01B026" w14:textId="77777777" w:rsidR="00E15EA4" w:rsidRPr="00D043C8" w:rsidRDefault="00E15EA4" w:rsidP="00000123">
            <w:pPr>
              <w:spacing w:after="100" w:afterAutospacing="1" w:line="360" w:lineRule="auto"/>
              <w:jc w:val="center"/>
              <w:rPr>
                <w:sz w:val="20"/>
              </w:rPr>
            </w:pPr>
            <w:r w:rsidRPr="00D043C8">
              <w:rPr>
                <w:sz w:val="20"/>
              </w:rPr>
              <w:t>21</w:t>
            </w:r>
          </w:p>
        </w:tc>
        <w:tc>
          <w:tcPr>
            <w:tcW w:w="1107" w:type="dxa"/>
          </w:tcPr>
          <w:p w14:paraId="7ECF9AF6" w14:textId="77777777" w:rsidR="00E15EA4" w:rsidRPr="00D043C8" w:rsidRDefault="00E15EA4" w:rsidP="00000123">
            <w:pPr>
              <w:spacing w:after="100" w:afterAutospacing="1"/>
              <w:jc w:val="center"/>
              <w:rPr>
                <w:sz w:val="20"/>
              </w:rPr>
            </w:pPr>
            <w:r w:rsidRPr="00D043C8">
              <w:rPr>
                <w:sz w:val="20"/>
              </w:rPr>
              <w:t>50</w:t>
            </w:r>
          </w:p>
        </w:tc>
      </w:tr>
      <w:tr w:rsidR="00E15EA4" w14:paraId="7F13DDD6" w14:textId="77777777" w:rsidTr="009D615F">
        <w:trPr>
          <w:trHeight w:val="546"/>
        </w:trPr>
        <w:tc>
          <w:tcPr>
            <w:tcW w:w="1121" w:type="dxa"/>
          </w:tcPr>
          <w:p w14:paraId="1D1C38AB" w14:textId="77777777" w:rsidR="00E15EA4" w:rsidRPr="00D043C8" w:rsidRDefault="00E15EA4" w:rsidP="00CA5B63">
            <w:pPr>
              <w:spacing w:after="100" w:afterAutospacing="1"/>
              <w:jc w:val="center"/>
              <w:rPr>
                <w:sz w:val="20"/>
              </w:rPr>
            </w:pPr>
            <w:r w:rsidRPr="00D043C8">
              <w:rPr>
                <w:sz w:val="20"/>
              </w:rPr>
              <w:t>Accident insurance</w:t>
            </w:r>
          </w:p>
        </w:tc>
        <w:tc>
          <w:tcPr>
            <w:tcW w:w="977" w:type="dxa"/>
          </w:tcPr>
          <w:p w14:paraId="5EB6CC6A" w14:textId="77777777" w:rsidR="00E15EA4" w:rsidRPr="00D043C8" w:rsidRDefault="00E15EA4" w:rsidP="00000123">
            <w:pPr>
              <w:spacing w:after="100" w:afterAutospacing="1" w:line="360" w:lineRule="auto"/>
              <w:jc w:val="center"/>
              <w:rPr>
                <w:sz w:val="20"/>
              </w:rPr>
            </w:pPr>
            <w:r w:rsidRPr="00D043C8">
              <w:rPr>
                <w:sz w:val="20"/>
              </w:rPr>
              <w:t>3</w:t>
            </w:r>
          </w:p>
        </w:tc>
        <w:tc>
          <w:tcPr>
            <w:tcW w:w="944" w:type="dxa"/>
          </w:tcPr>
          <w:p w14:paraId="25CCE59C" w14:textId="77777777" w:rsidR="00E15EA4" w:rsidRPr="00D043C8" w:rsidRDefault="00E15EA4" w:rsidP="00000123">
            <w:pPr>
              <w:spacing w:after="100" w:afterAutospacing="1" w:line="360" w:lineRule="auto"/>
              <w:jc w:val="center"/>
              <w:rPr>
                <w:sz w:val="20"/>
              </w:rPr>
            </w:pPr>
            <w:r w:rsidRPr="00D043C8">
              <w:rPr>
                <w:sz w:val="20"/>
              </w:rPr>
              <w:t>16</w:t>
            </w:r>
          </w:p>
        </w:tc>
        <w:tc>
          <w:tcPr>
            <w:tcW w:w="1010" w:type="dxa"/>
          </w:tcPr>
          <w:p w14:paraId="4091691D" w14:textId="77777777" w:rsidR="00E15EA4" w:rsidRPr="00D043C8" w:rsidRDefault="00E15EA4" w:rsidP="00000123">
            <w:pPr>
              <w:spacing w:after="100" w:afterAutospacing="1" w:line="360" w:lineRule="auto"/>
              <w:jc w:val="center"/>
              <w:rPr>
                <w:sz w:val="20"/>
              </w:rPr>
            </w:pPr>
            <w:r w:rsidRPr="00D043C8">
              <w:rPr>
                <w:sz w:val="20"/>
              </w:rPr>
              <w:t>17</w:t>
            </w:r>
          </w:p>
        </w:tc>
        <w:tc>
          <w:tcPr>
            <w:tcW w:w="902" w:type="dxa"/>
          </w:tcPr>
          <w:p w14:paraId="257A5667" w14:textId="77777777" w:rsidR="00E15EA4" w:rsidRPr="00D043C8" w:rsidRDefault="00E15EA4" w:rsidP="00000123">
            <w:pPr>
              <w:spacing w:after="100" w:afterAutospacing="1" w:line="360" w:lineRule="auto"/>
              <w:jc w:val="center"/>
              <w:rPr>
                <w:sz w:val="20"/>
              </w:rPr>
            </w:pPr>
            <w:r w:rsidRPr="00D043C8">
              <w:rPr>
                <w:sz w:val="20"/>
              </w:rPr>
              <w:t>75</w:t>
            </w:r>
          </w:p>
        </w:tc>
        <w:tc>
          <w:tcPr>
            <w:tcW w:w="870" w:type="dxa"/>
          </w:tcPr>
          <w:p w14:paraId="6151713A" w14:textId="77777777" w:rsidR="00E15EA4" w:rsidRPr="00D043C8" w:rsidRDefault="00E15EA4" w:rsidP="00000123">
            <w:pPr>
              <w:spacing w:after="100" w:afterAutospacing="1" w:line="360" w:lineRule="auto"/>
              <w:jc w:val="center"/>
              <w:rPr>
                <w:sz w:val="20"/>
              </w:rPr>
            </w:pPr>
            <w:r w:rsidRPr="00D043C8">
              <w:rPr>
                <w:sz w:val="20"/>
              </w:rPr>
              <w:t>10</w:t>
            </w:r>
          </w:p>
        </w:tc>
        <w:tc>
          <w:tcPr>
            <w:tcW w:w="1107" w:type="dxa"/>
          </w:tcPr>
          <w:p w14:paraId="0C71A6AC" w14:textId="77777777" w:rsidR="00E15EA4" w:rsidRPr="00D043C8" w:rsidRDefault="00E15EA4" w:rsidP="00000123">
            <w:pPr>
              <w:spacing w:after="100" w:afterAutospacing="1"/>
              <w:jc w:val="center"/>
              <w:rPr>
                <w:sz w:val="20"/>
              </w:rPr>
            </w:pPr>
            <w:r w:rsidRPr="00D043C8">
              <w:rPr>
                <w:sz w:val="20"/>
              </w:rPr>
              <w:t>24</w:t>
            </w:r>
          </w:p>
        </w:tc>
      </w:tr>
      <w:tr w:rsidR="00E15EA4" w14:paraId="261A6226" w14:textId="77777777" w:rsidTr="009D615F">
        <w:trPr>
          <w:trHeight w:val="804"/>
        </w:trPr>
        <w:tc>
          <w:tcPr>
            <w:tcW w:w="1121" w:type="dxa"/>
          </w:tcPr>
          <w:p w14:paraId="38325447" w14:textId="77777777" w:rsidR="00E15EA4" w:rsidRPr="00D043C8" w:rsidRDefault="00E15EA4" w:rsidP="00CA5B63">
            <w:pPr>
              <w:spacing w:after="100" w:afterAutospacing="1"/>
              <w:jc w:val="center"/>
              <w:rPr>
                <w:sz w:val="20"/>
              </w:rPr>
            </w:pPr>
            <w:r w:rsidRPr="00D043C8">
              <w:rPr>
                <w:sz w:val="20"/>
              </w:rPr>
              <w:t>Free water and electricity</w:t>
            </w:r>
          </w:p>
        </w:tc>
        <w:tc>
          <w:tcPr>
            <w:tcW w:w="977" w:type="dxa"/>
          </w:tcPr>
          <w:p w14:paraId="7DD7F33E" w14:textId="77777777" w:rsidR="00E15EA4" w:rsidRPr="00D043C8" w:rsidRDefault="00E15EA4" w:rsidP="00000123">
            <w:pPr>
              <w:spacing w:after="100" w:afterAutospacing="1" w:line="360" w:lineRule="auto"/>
              <w:jc w:val="center"/>
              <w:rPr>
                <w:sz w:val="20"/>
              </w:rPr>
            </w:pPr>
            <w:r w:rsidRPr="00D043C8">
              <w:rPr>
                <w:sz w:val="20"/>
              </w:rPr>
              <w:t>45</w:t>
            </w:r>
          </w:p>
        </w:tc>
        <w:tc>
          <w:tcPr>
            <w:tcW w:w="944" w:type="dxa"/>
          </w:tcPr>
          <w:p w14:paraId="609B8E5A" w14:textId="77777777" w:rsidR="00E15EA4" w:rsidRPr="00D043C8" w:rsidRDefault="00E15EA4" w:rsidP="00000123">
            <w:pPr>
              <w:spacing w:after="100" w:afterAutospacing="1" w:line="360" w:lineRule="auto"/>
              <w:jc w:val="center"/>
              <w:rPr>
                <w:sz w:val="20"/>
              </w:rPr>
            </w:pPr>
            <w:r w:rsidRPr="00D043C8">
              <w:rPr>
                <w:sz w:val="20"/>
              </w:rPr>
              <w:t>60</w:t>
            </w:r>
          </w:p>
        </w:tc>
        <w:tc>
          <w:tcPr>
            <w:tcW w:w="1010" w:type="dxa"/>
          </w:tcPr>
          <w:p w14:paraId="4AB10436" w14:textId="77777777" w:rsidR="00E15EA4" w:rsidRPr="00D043C8" w:rsidRDefault="00E15EA4" w:rsidP="00000123">
            <w:pPr>
              <w:spacing w:after="100" w:afterAutospacing="1" w:line="360" w:lineRule="auto"/>
              <w:jc w:val="center"/>
              <w:rPr>
                <w:sz w:val="20"/>
              </w:rPr>
            </w:pPr>
            <w:r w:rsidRPr="00D043C8">
              <w:rPr>
                <w:sz w:val="20"/>
              </w:rPr>
              <w:t>72</w:t>
            </w:r>
          </w:p>
        </w:tc>
        <w:tc>
          <w:tcPr>
            <w:tcW w:w="902" w:type="dxa"/>
          </w:tcPr>
          <w:p w14:paraId="03FB6C94" w14:textId="77777777" w:rsidR="00E15EA4" w:rsidRPr="00D043C8" w:rsidRDefault="00E15EA4" w:rsidP="00000123">
            <w:pPr>
              <w:spacing w:after="100" w:afterAutospacing="1" w:line="360" w:lineRule="auto"/>
              <w:jc w:val="center"/>
              <w:rPr>
                <w:sz w:val="20"/>
              </w:rPr>
            </w:pPr>
            <w:r w:rsidRPr="00D043C8">
              <w:rPr>
                <w:sz w:val="20"/>
              </w:rPr>
              <w:t>82</w:t>
            </w:r>
          </w:p>
        </w:tc>
        <w:tc>
          <w:tcPr>
            <w:tcW w:w="870" w:type="dxa"/>
          </w:tcPr>
          <w:p w14:paraId="5F811EE3" w14:textId="77777777" w:rsidR="00E15EA4" w:rsidRPr="00D043C8" w:rsidRDefault="00E15EA4" w:rsidP="00000123">
            <w:pPr>
              <w:spacing w:after="100" w:afterAutospacing="1" w:line="360" w:lineRule="auto"/>
              <w:jc w:val="center"/>
              <w:rPr>
                <w:sz w:val="20"/>
              </w:rPr>
            </w:pPr>
            <w:r w:rsidRPr="00D043C8">
              <w:rPr>
                <w:sz w:val="20"/>
              </w:rPr>
              <w:t>51</w:t>
            </w:r>
          </w:p>
        </w:tc>
        <w:tc>
          <w:tcPr>
            <w:tcW w:w="1107" w:type="dxa"/>
          </w:tcPr>
          <w:p w14:paraId="778AE259" w14:textId="77777777" w:rsidR="00E15EA4" w:rsidRPr="00D043C8" w:rsidRDefault="00E15EA4" w:rsidP="00000123">
            <w:pPr>
              <w:spacing w:after="100" w:afterAutospacing="1"/>
              <w:jc w:val="center"/>
              <w:rPr>
                <w:sz w:val="20"/>
              </w:rPr>
            </w:pPr>
            <w:r w:rsidRPr="00D043C8">
              <w:rPr>
                <w:sz w:val="20"/>
              </w:rPr>
              <w:t>62</w:t>
            </w:r>
          </w:p>
        </w:tc>
      </w:tr>
      <w:tr w:rsidR="00E15EA4" w14:paraId="6FA37666" w14:textId="77777777" w:rsidTr="009D615F">
        <w:trPr>
          <w:trHeight w:val="488"/>
        </w:trPr>
        <w:tc>
          <w:tcPr>
            <w:tcW w:w="1121" w:type="dxa"/>
          </w:tcPr>
          <w:p w14:paraId="5D342258" w14:textId="77777777" w:rsidR="00E15EA4" w:rsidRPr="00D043C8" w:rsidRDefault="00E15EA4" w:rsidP="00CA5B63">
            <w:pPr>
              <w:spacing w:after="100" w:afterAutospacing="1"/>
              <w:jc w:val="center"/>
              <w:rPr>
                <w:sz w:val="20"/>
              </w:rPr>
            </w:pPr>
            <w:r w:rsidRPr="00D043C8">
              <w:rPr>
                <w:sz w:val="20"/>
              </w:rPr>
              <w:t>No benefit</w:t>
            </w:r>
          </w:p>
        </w:tc>
        <w:tc>
          <w:tcPr>
            <w:tcW w:w="977" w:type="dxa"/>
          </w:tcPr>
          <w:p w14:paraId="3416824E" w14:textId="77777777" w:rsidR="00E15EA4" w:rsidRPr="00D043C8" w:rsidRDefault="00E15EA4" w:rsidP="00000123">
            <w:pPr>
              <w:spacing w:after="100" w:afterAutospacing="1" w:line="360" w:lineRule="auto"/>
              <w:jc w:val="center"/>
              <w:rPr>
                <w:sz w:val="20"/>
              </w:rPr>
            </w:pPr>
            <w:r w:rsidRPr="00D043C8">
              <w:rPr>
                <w:sz w:val="20"/>
              </w:rPr>
              <w:t>4</w:t>
            </w:r>
          </w:p>
        </w:tc>
        <w:tc>
          <w:tcPr>
            <w:tcW w:w="944" w:type="dxa"/>
          </w:tcPr>
          <w:p w14:paraId="5E91B93C" w14:textId="77777777" w:rsidR="00E15EA4" w:rsidRPr="00D043C8" w:rsidRDefault="00E15EA4" w:rsidP="00000123">
            <w:pPr>
              <w:spacing w:after="100" w:afterAutospacing="1" w:line="360" w:lineRule="auto"/>
              <w:jc w:val="center"/>
              <w:rPr>
                <w:sz w:val="20"/>
              </w:rPr>
            </w:pPr>
            <w:r w:rsidRPr="00D043C8">
              <w:rPr>
                <w:sz w:val="20"/>
              </w:rPr>
              <w:t>5</w:t>
            </w:r>
          </w:p>
        </w:tc>
        <w:tc>
          <w:tcPr>
            <w:tcW w:w="1010" w:type="dxa"/>
          </w:tcPr>
          <w:p w14:paraId="177C16E7" w14:textId="77777777" w:rsidR="00E15EA4" w:rsidRPr="00D043C8" w:rsidRDefault="00E15EA4" w:rsidP="00000123">
            <w:pPr>
              <w:spacing w:after="100" w:afterAutospacing="1" w:line="360" w:lineRule="auto"/>
              <w:jc w:val="center"/>
              <w:rPr>
                <w:sz w:val="20"/>
              </w:rPr>
            </w:pPr>
            <w:r w:rsidRPr="00D043C8">
              <w:rPr>
                <w:sz w:val="20"/>
              </w:rPr>
              <w:t>12</w:t>
            </w:r>
          </w:p>
        </w:tc>
        <w:tc>
          <w:tcPr>
            <w:tcW w:w="902" w:type="dxa"/>
          </w:tcPr>
          <w:p w14:paraId="0E87692C" w14:textId="77777777" w:rsidR="00E15EA4" w:rsidRPr="00D043C8" w:rsidRDefault="00E15EA4" w:rsidP="00000123">
            <w:pPr>
              <w:spacing w:after="100" w:afterAutospacing="1" w:line="360" w:lineRule="auto"/>
              <w:jc w:val="center"/>
              <w:rPr>
                <w:sz w:val="20"/>
              </w:rPr>
            </w:pPr>
            <w:r w:rsidRPr="00D043C8">
              <w:rPr>
                <w:sz w:val="20"/>
              </w:rPr>
              <w:t>13</w:t>
            </w:r>
          </w:p>
        </w:tc>
        <w:tc>
          <w:tcPr>
            <w:tcW w:w="870" w:type="dxa"/>
          </w:tcPr>
          <w:p w14:paraId="7BDA7ADF" w14:textId="77777777" w:rsidR="00E15EA4" w:rsidRPr="00D043C8" w:rsidRDefault="00E15EA4" w:rsidP="00000123">
            <w:pPr>
              <w:spacing w:after="100" w:afterAutospacing="1" w:line="360" w:lineRule="auto"/>
              <w:jc w:val="center"/>
              <w:rPr>
                <w:sz w:val="20"/>
              </w:rPr>
            </w:pPr>
            <w:r w:rsidRPr="00D043C8">
              <w:rPr>
                <w:sz w:val="20"/>
              </w:rPr>
              <w:t>21</w:t>
            </w:r>
          </w:p>
        </w:tc>
        <w:tc>
          <w:tcPr>
            <w:tcW w:w="1107" w:type="dxa"/>
          </w:tcPr>
          <w:p w14:paraId="07A8BE91" w14:textId="77777777" w:rsidR="00E15EA4" w:rsidRPr="00D043C8" w:rsidRDefault="00E15EA4" w:rsidP="00000123">
            <w:pPr>
              <w:spacing w:after="100" w:afterAutospacing="1"/>
              <w:jc w:val="center"/>
              <w:rPr>
                <w:sz w:val="20"/>
              </w:rPr>
            </w:pPr>
            <w:r w:rsidRPr="00D043C8">
              <w:rPr>
                <w:sz w:val="20"/>
              </w:rPr>
              <w:t>11</w:t>
            </w:r>
          </w:p>
        </w:tc>
      </w:tr>
      <w:tr w:rsidR="00E15EA4" w14:paraId="4034180B" w14:textId="77777777" w:rsidTr="009D615F">
        <w:trPr>
          <w:trHeight w:val="371"/>
        </w:trPr>
        <w:tc>
          <w:tcPr>
            <w:tcW w:w="1121" w:type="dxa"/>
          </w:tcPr>
          <w:p w14:paraId="6D0209F5" w14:textId="77777777" w:rsidR="00E15EA4" w:rsidRPr="001E5038" w:rsidRDefault="00E15EA4" w:rsidP="00CA5B63">
            <w:pPr>
              <w:spacing w:after="100" w:afterAutospacing="1"/>
              <w:jc w:val="center"/>
              <w:rPr>
                <w:noProof/>
                <w:sz w:val="20"/>
                <w:lang w:eastAsia="en-IN"/>
              </w:rPr>
            </w:pPr>
            <w:r w:rsidRPr="001E5038">
              <w:rPr>
                <w:noProof/>
                <w:sz w:val="20"/>
                <w:lang w:eastAsia="en-IN"/>
              </w:rPr>
              <w:t>Housing allowence</w:t>
            </w:r>
          </w:p>
        </w:tc>
        <w:tc>
          <w:tcPr>
            <w:tcW w:w="977" w:type="dxa"/>
          </w:tcPr>
          <w:p w14:paraId="0244F338" w14:textId="77777777" w:rsidR="00E15EA4" w:rsidRPr="001E5038" w:rsidRDefault="00E15EA4" w:rsidP="00000123">
            <w:pPr>
              <w:spacing w:after="100" w:afterAutospacing="1" w:line="360" w:lineRule="auto"/>
              <w:jc w:val="center"/>
              <w:rPr>
                <w:sz w:val="20"/>
              </w:rPr>
            </w:pPr>
            <w:r w:rsidRPr="001E5038">
              <w:rPr>
                <w:sz w:val="20"/>
              </w:rPr>
              <w:t>64</w:t>
            </w:r>
          </w:p>
        </w:tc>
        <w:tc>
          <w:tcPr>
            <w:tcW w:w="944" w:type="dxa"/>
          </w:tcPr>
          <w:p w14:paraId="2A335E85" w14:textId="77777777" w:rsidR="00E15EA4" w:rsidRPr="001E5038" w:rsidRDefault="00E15EA4" w:rsidP="00000123">
            <w:pPr>
              <w:spacing w:after="100" w:afterAutospacing="1" w:line="360" w:lineRule="auto"/>
              <w:jc w:val="center"/>
              <w:rPr>
                <w:sz w:val="20"/>
              </w:rPr>
            </w:pPr>
            <w:r w:rsidRPr="001E5038">
              <w:rPr>
                <w:sz w:val="20"/>
              </w:rPr>
              <w:t>0</w:t>
            </w:r>
          </w:p>
        </w:tc>
        <w:tc>
          <w:tcPr>
            <w:tcW w:w="1010" w:type="dxa"/>
          </w:tcPr>
          <w:p w14:paraId="0FBDF07C" w14:textId="77777777" w:rsidR="00E15EA4" w:rsidRPr="001E5038" w:rsidRDefault="00E15EA4" w:rsidP="00000123">
            <w:pPr>
              <w:spacing w:after="100" w:afterAutospacing="1" w:line="360" w:lineRule="auto"/>
              <w:jc w:val="center"/>
              <w:rPr>
                <w:sz w:val="20"/>
              </w:rPr>
            </w:pPr>
            <w:r w:rsidRPr="001E5038">
              <w:rPr>
                <w:sz w:val="20"/>
              </w:rPr>
              <w:t>42</w:t>
            </w:r>
          </w:p>
        </w:tc>
        <w:tc>
          <w:tcPr>
            <w:tcW w:w="902" w:type="dxa"/>
          </w:tcPr>
          <w:p w14:paraId="04BF7933" w14:textId="77777777" w:rsidR="00E15EA4" w:rsidRPr="001E5038" w:rsidRDefault="00E15EA4" w:rsidP="00000123">
            <w:pPr>
              <w:spacing w:after="100" w:afterAutospacing="1" w:line="360" w:lineRule="auto"/>
              <w:jc w:val="center"/>
              <w:rPr>
                <w:sz w:val="20"/>
              </w:rPr>
            </w:pPr>
            <w:r w:rsidRPr="001E5038">
              <w:rPr>
                <w:sz w:val="20"/>
              </w:rPr>
              <w:t>75</w:t>
            </w:r>
          </w:p>
        </w:tc>
        <w:tc>
          <w:tcPr>
            <w:tcW w:w="870" w:type="dxa"/>
          </w:tcPr>
          <w:p w14:paraId="40995D30" w14:textId="77777777" w:rsidR="00E15EA4" w:rsidRPr="001E5038" w:rsidRDefault="00E15EA4" w:rsidP="00000123">
            <w:pPr>
              <w:spacing w:after="100" w:afterAutospacing="1" w:line="360" w:lineRule="auto"/>
              <w:jc w:val="center"/>
              <w:rPr>
                <w:sz w:val="20"/>
              </w:rPr>
            </w:pPr>
            <w:r w:rsidRPr="001E5038">
              <w:rPr>
                <w:sz w:val="20"/>
              </w:rPr>
              <w:t>37</w:t>
            </w:r>
          </w:p>
        </w:tc>
        <w:tc>
          <w:tcPr>
            <w:tcW w:w="1107" w:type="dxa"/>
          </w:tcPr>
          <w:p w14:paraId="5698D51A" w14:textId="77777777" w:rsidR="00E15EA4" w:rsidRPr="001E5038" w:rsidRDefault="00E15EA4" w:rsidP="00000123">
            <w:pPr>
              <w:spacing w:after="100" w:afterAutospacing="1"/>
              <w:jc w:val="center"/>
              <w:rPr>
                <w:sz w:val="20"/>
              </w:rPr>
            </w:pPr>
            <w:r w:rsidRPr="001E5038">
              <w:rPr>
                <w:sz w:val="20"/>
              </w:rPr>
              <w:t>44</w:t>
            </w:r>
          </w:p>
        </w:tc>
      </w:tr>
    </w:tbl>
    <w:p w14:paraId="298B306B" w14:textId="77777777" w:rsidR="00E15EA4" w:rsidRPr="00BB68A5" w:rsidRDefault="00E15EA4" w:rsidP="00BB68A5">
      <w:pPr>
        <w:spacing w:line="240" w:lineRule="auto"/>
        <w:ind w:right="397"/>
        <w:jc w:val="both"/>
        <w:rPr>
          <w:bCs/>
          <w:sz w:val="20"/>
        </w:rPr>
      </w:pPr>
      <w:r w:rsidRPr="000E6205">
        <w:rPr>
          <w:bCs/>
          <w:sz w:val="20"/>
        </w:rPr>
        <w:lastRenderedPageBreak/>
        <w:t xml:space="preserve">Source: </w:t>
      </w:r>
      <w:proofErr w:type="spellStart"/>
      <w:r w:rsidRPr="000E6205">
        <w:rPr>
          <w:bCs/>
          <w:sz w:val="20"/>
        </w:rPr>
        <w:t>Abdoulay</w:t>
      </w:r>
      <w:proofErr w:type="spellEnd"/>
      <w:r w:rsidRPr="000E6205">
        <w:rPr>
          <w:bCs/>
          <w:sz w:val="20"/>
        </w:rPr>
        <w:t xml:space="preserve"> Diop, </w:t>
      </w:r>
      <w:proofErr w:type="spellStart"/>
      <w:r w:rsidRPr="000E6205">
        <w:rPr>
          <w:bCs/>
          <w:sz w:val="20"/>
        </w:rPr>
        <w:t>KienTrung</w:t>
      </w:r>
      <w:proofErr w:type="spellEnd"/>
      <w:r w:rsidRPr="000E6205">
        <w:rPr>
          <w:bCs/>
          <w:sz w:val="20"/>
        </w:rPr>
        <w:t xml:space="preserve"> Le, and Michael </w:t>
      </w:r>
      <w:proofErr w:type="spellStart"/>
      <w:r w:rsidRPr="000E6205">
        <w:rPr>
          <w:bCs/>
          <w:sz w:val="20"/>
        </w:rPr>
        <w:t>C.Ewers</w:t>
      </w:r>
      <w:proofErr w:type="spellEnd"/>
      <w:r w:rsidRPr="000E6205">
        <w:rPr>
          <w:bCs/>
          <w:sz w:val="20"/>
        </w:rPr>
        <w:t xml:space="preserve">, </w:t>
      </w:r>
      <w:r w:rsidRPr="000E6205">
        <w:rPr>
          <w:bCs/>
          <w:i/>
          <w:sz w:val="20"/>
        </w:rPr>
        <w:t>India Migration Report</w:t>
      </w:r>
      <w:r w:rsidRPr="000E6205">
        <w:rPr>
          <w:bCs/>
          <w:sz w:val="20"/>
        </w:rPr>
        <w:t xml:space="preserve"> 2016 (Routledge)Edited by </w:t>
      </w:r>
      <w:proofErr w:type="spellStart"/>
      <w:r w:rsidRPr="000E6205">
        <w:rPr>
          <w:bCs/>
          <w:sz w:val="20"/>
        </w:rPr>
        <w:t>S.IrudayaRajan</w:t>
      </w:r>
      <w:proofErr w:type="spellEnd"/>
      <w:r w:rsidRPr="000E6205">
        <w:rPr>
          <w:bCs/>
          <w:sz w:val="20"/>
        </w:rPr>
        <w:t>. P, 79</w:t>
      </w:r>
    </w:p>
    <w:p w14:paraId="5BCD4B37" w14:textId="77777777" w:rsidR="00E15EA4" w:rsidRPr="00F8462A" w:rsidRDefault="00E15EA4" w:rsidP="00BB68A5">
      <w:pPr>
        <w:rPr>
          <w:b/>
        </w:rPr>
      </w:pPr>
      <w:r>
        <w:rPr>
          <w:b/>
        </w:rPr>
        <w:t>Table3: Percentage of Economic Beneficiaries of Migrant workers in GCC countries</w:t>
      </w:r>
    </w:p>
    <w:tbl>
      <w:tblPr>
        <w:tblStyle w:val="TableGrid"/>
        <w:tblW w:w="8080" w:type="dxa"/>
        <w:tblInd w:w="108" w:type="dxa"/>
        <w:tblLook w:val="04A0" w:firstRow="1" w:lastRow="0" w:firstColumn="1" w:lastColumn="0" w:noHBand="0" w:noVBand="1"/>
      </w:tblPr>
      <w:tblGrid>
        <w:gridCol w:w="1231"/>
        <w:gridCol w:w="1171"/>
        <w:gridCol w:w="16"/>
        <w:gridCol w:w="1184"/>
        <w:gridCol w:w="1192"/>
        <w:gridCol w:w="1176"/>
        <w:gridCol w:w="1171"/>
        <w:gridCol w:w="939"/>
      </w:tblGrid>
      <w:tr w:rsidR="00E15EA4" w14:paraId="7757D801" w14:textId="77777777" w:rsidTr="00C114D4">
        <w:trPr>
          <w:trHeight w:val="503"/>
        </w:trPr>
        <w:tc>
          <w:tcPr>
            <w:tcW w:w="1231" w:type="dxa"/>
          </w:tcPr>
          <w:p w14:paraId="6DCB6EB8" w14:textId="77777777" w:rsidR="00E15EA4" w:rsidRPr="002F6C84" w:rsidRDefault="00E15EA4" w:rsidP="00651FB6">
            <w:pPr>
              <w:ind w:right="237"/>
              <w:rPr>
                <w:sz w:val="20"/>
              </w:rPr>
            </w:pPr>
            <w:r w:rsidRPr="002F6C84">
              <w:rPr>
                <w:sz w:val="20"/>
              </w:rPr>
              <w:t>Name of benefit</w:t>
            </w:r>
          </w:p>
        </w:tc>
        <w:tc>
          <w:tcPr>
            <w:tcW w:w="1187" w:type="dxa"/>
            <w:gridSpan w:val="2"/>
          </w:tcPr>
          <w:p w14:paraId="30637EB5" w14:textId="77777777" w:rsidR="00E15EA4" w:rsidRPr="002F6C84" w:rsidRDefault="00E15EA4" w:rsidP="002F6C84">
            <w:pPr>
              <w:ind w:right="237"/>
              <w:jc w:val="center"/>
              <w:rPr>
                <w:sz w:val="20"/>
              </w:rPr>
            </w:pPr>
            <w:r w:rsidRPr="002F6C84">
              <w:rPr>
                <w:sz w:val="20"/>
              </w:rPr>
              <w:t>Kuwait</w:t>
            </w:r>
          </w:p>
        </w:tc>
        <w:tc>
          <w:tcPr>
            <w:tcW w:w="1184" w:type="dxa"/>
          </w:tcPr>
          <w:p w14:paraId="7400B4F3" w14:textId="77777777" w:rsidR="00E15EA4" w:rsidRPr="002F6C84" w:rsidRDefault="00E15EA4" w:rsidP="002F6C84">
            <w:pPr>
              <w:ind w:right="237"/>
              <w:jc w:val="center"/>
              <w:rPr>
                <w:sz w:val="20"/>
              </w:rPr>
            </w:pPr>
            <w:r w:rsidRPr="002F6C84">
              <w:rPr>
                <w:sz w:val="20"/>
              </w:rPr>
              <w:t>Saudi Arabia</w:t>
            </w:r>
          </w:p>
        </w:tc>
        <w:tc>
          <w:tcPr>
            <w:tcW w:w="1192" w:type="dxa"/>
          </w:tcPr>
          <w:p w14:paraId="5A2ACE41" w14:textId="77777777" w:rsidR="00E15EA4" w:rsidRPr="002F6C84" w:rsidRDefault="00E15EA4" w:rsidP="002F6C84">
            <w:pPr>
              <w:ind w:right="237"/>
              <w:jc w:val="center"/>
              <w:rPr>
                <w:sz w:val="20"/>
              </w:rPr>
            </w:pPr>
            <w:r w:rsidRPr="002F6C84">
              <w:rPr>
                <w:sz w:val="20"/>
              </w:rPr>
              <w:t>Bahrain</w:t>
            </w:r>
          </w:p>
        </w:tc>
        <w:tc>
          <w:tcPr>
            <w:tcW w:w="1176" w:type="dxa"/>
          </w:tcPr>
          <w:p w14:paraId="373776BF" w14:textId="77777777" w:rsidR="00E15EA4" w:rsidRPr="002F6C84" w:rsidRDefault="00E15EA4" w:rsidP="002F6C84">
            <w:pPr>
              <w:ind w:right="237"/>
              <w:jc w:val="center"/>
              <w:rPr>
                <w:sz w:val="20"/>
              </w:rPr>
            </w:pPr>
            <w:r w:rsidRPr="002F6C84">
              <w:rPr>
                <w:sz w:val="20"/>
              </w:rPr>
              <w:t>Oman</w:t>
            </w:r>
          </w:p>
        </w:tc>
        <w:tc>
          <w:tcPr>
            <w:tcW w:w="1171" w:type="dxa"/>
          </w:tcPr>
          <w:p w14:paraId="65D33CC6" w14:textId="77777777" w:rsidR="00E15EA4" w:rsidRPr="002F6C84" w:rsidRDefault="00E15EA4" w:rsidP="002F6C84">
            <w:pPr>
              <w:ind w:right="237"/>
              <w:jc w:val="center"/>
              <w:rPr>
                <w:sz w:val="20"/>
              </w:rPr>
            </w:pPr>
            <w:r w:rsidRPr="002F6C84">
              <w:rPr>
                <w:sz w:val="20"/>
              </w:rPr>
              <w:t>Qatar</w:t>
            </w:r>
          </w:p>
        </w:tc>
        <w:tc>
          <w:tcPr>
            <w:tcW w:w="939" w:type="dxa"/>
          </w:tcPr>
          <w:p w14:paraId="73CF6B64" w14:textId="77777777" w:rsidR="00E15EA4" w:rsidRPr="002F6C84" w:rsidRDefault="00E15EA4" w:rsidP="002F6C84">
            <w:pPr>
              <w:jc w:val="center"/>
              <w:rPr>
                <w:sz w:val="20"/>
              </w:rPr>
            </w:pPr>
            <w:r w:rsidRPr="002F6C84">
              <w:rPr>
                <w:sz w:val="20"/>
              </w:rPr>
              <w:t>Average</w:t>
            </w:r>
          </w:p>
        </w:tc>
      </w:tr>
      <w:tr w:rsidR="00E15EA4" w14:paraId="61D5BFA4" w14:textId="77777777" w:rsidTr="00C114D4">
        <w:trPr>
          <w:trHeight w:val="590"/>
        </w:trPr>
        <w:tc>
          <w:tcPr>
            <w:tcW w:w="1231" w:type="dxa"/>
          </w:tcPr>
          <w:p w14:paraId="0006A829" w14:textId="77777777" w:rsidR="00E15EA4" w:rsidRPr="002F6C84" w:rsidRDefault="00E15EA4" w:rsidP="00651FB6">
            <w:pPr>
              <w:ind w:right="237"/>
              <w:rPr>
                <w:sz w:val="20"/>
              </w:rPr>
            </w:pPr>
            <w:r w:rsidRPr="002F6C84">
              <w:rPr>
                <w:sz w:val="20"/>
              </w:rPr>
              <w:t>Paid holiday</w:t>
            </w:r>
          </w:p>
        </w:tc>
        <w:tc>
          <w:tcPr>
            <w:tcW w:w="1187" w:type="dxa"/>
            <w:gridSpan w:val="2"/>
          </w:tcPr>
          <w:p w14:paraId="1A6DE1DF" w14:textId="77777777" w:rsidR="00E15EA4" w:rsidRPr="002F6C84" w:rsidRDefault="00E15EA4" w:rsidP="002F6C84">
            <w:pPr>
              <w:ind w:right="237"/>
              <w:jc w:val="center"/>
              <w:rPr>
                <w:sz w:val="20"/>
              </w:rPr>
            </w:pPr>
            <w:r w:rsidRPr="002F6C84">
              <w:rPr>
                <w:sz w:val="20"/>
              </w:rPr>
              <w:t>24</w:t>
            </w:r>
          </w:p>
        </w:tc>
        <w:tc>
          <w:tcPr>
            <w:tcW w:w="1184" w:type="dxa"/>
          </w:tcPr>
          <w:p w14:paraId="047EEB9A" w14:textId="77777777" w:rsidR="00E15EA4" w:rsidRPr="002F6C84" w:rsidRDefault="00E15EA4" w:rsidP="000A3467">
            <w:pPr>
              <w:ind w:right="237"/>
              <w:jc w:val="center"/>
              <w:rPr>
                <w:sz w:val="20"/>
              </w:rPr>
            </w:pPr>
            <w:r w:rsidRPr="002F6C84">
              <w:rPr>
                <w:sz w:val="20"/>
              </w:rPr>
              <w:t>29</w:t>
            </w:r>
          </w:p>
        </w:tc>
        <w:tc>
          <w:tcPr>
            <w:tcW w:w="1192" w:type="dxa"/>
          </w:tcPr>
          <w:p w14:paraId="14212DF0" w14:textId="77777777" w:rsidR="00E15EA4" w:rsidRPr="002F6C84" w:rsidRDefault="00E15EA4" w:rsidP="000A3467">
            <w:pPr>
              <w:ind w:right="237"/>
              <w:jc w:val="center"/>
              <w:rPr>
                <w:sz w:val="20"/>
              </w:rPr>
            </w:pPr>
            <w:r w:rsidRPr="002F6C84">
              <w:rPr>
                <w:sz w:val="20"/>
              </w:rPr>
              <w:t>63</w:t>
            </w:r>
          </w:p>
        </w:tc>
        <w:tc>
          <w:tcPr>
            <w:tcW w:w="1176" w:type="dxa"/>
          </w:tcPr>
          <w:p w14:paraId="57EBF9F1" w14:textId="77777777" w:rsidR="00E15EA4" w:rsidRPr="002F6C84" w:rsidRDefault="00E15EA4" w:rsidP="000A3467">
            <w:pPr>
              <w:ind w:right="237"/>
              <w:jc w:val="center"/>
              <w:rPr>
                <w:sz w:val="20"/>
              </w:rPr>
            </w:pPr>
            <w:r w:rsidRPr="002F6C84">
              <w:rPr>
                <w:sz w:val="20"/>
              </w:rPr>
              <w:t>77</w:t>
            </w:r>
          </w:p>
        </w:tc>
        <w:tc>
          <w:tcPr>
            <w:tcW w:w="1171" w:type="dxa"/>
          </w:tcPr>
          <w:p w14:paraId="12E06B36" w14:textId="77777777" w:rsidR="00E15EA4" w:rsidRPr="002F6C84" w:rsidRDefault="00E15EA4" w:rsidP="000A3467">
            <w:pPr>
              <w:ind w:right="237"/>
              <w:jc w:val="center"/>
              <w:rPr>
                <w:sz w:val="20"/>
              </w:rPr>
            </w:pPr>
            <w:r w:rsidRPr="002F6C84">
              <w:rPr>
                <w:sz w:val="20"/>
              </w:rPr>
              <w:t>41</w:t>
            </w:r>
          </w:p>
        </w:tc>
        <w:tc>
          <w:tcPr>
            <w:tcW w:w="939" w:type="dxa"/>
          </w:tcPr>
          <w:p w14:paraId="467DC405" w14:textId="77777777" w:rsidR="00E15EA4" w:rsidRPr="002F6C84" w:rsidRDefault="00E15EA4" w:rsidP="00C114D4">
            <w:pPr>
              <w:jc w:val="center"/>
              <w:rPr>
                <w:sz w:val="20"/>
              </w:rPr>
            </w:pPr>
            <w:r w:rsidRPr="002F6C84">
              <w:rPr>
                <w:sz w:val="20"/>
              </w:rPr>
              <w:t>47</w:t>
            </w:r>
          </w:p>
        </w:tc>
      </w:tr>
      <w:tr w:rsidR="00E15EA4" w14:paraId="54D9743E" w14:textId="77777777" w:rsidTr="00C114D4">
        <w:trPr>
          <w:trHeight w:val="753"/>
        </w:trPr>
        <w:tc>
          <w:tcPr>
            <w:tcW w:w="1231" w:type="dxa"/>
          </w:tcPr>
          <w:p w14:paraId="6025EFE3" w14:textId="77777777" w:rsidR="00E15EA4" w:rsidRPr="002F6C84" w:rsidRDefault="00E15EA4" w:rsidP="00651FB6">
            <w:pPr>
              <w:ind w:right="237"/>
              <w:rPr>
                <w:sz w:val="20"/>
              </w:rPr>
            </w:pPr>
            <w:r w:rsidRPr="002F6C84">
              <w:rPr>
                <w:sz w:val="20"/>
              </w:rPr>
              <w:t>Transport to/from work</w:t>
            </w:r>
          </w:p>
        </w:tc>
        <w:tc>
          <w:tcPr>
            <w:tcW w:w="1187" w:type="dxa"/>
            <w:gridSpan w:val="2"/>
          </w:tcPr>
          <w:p w14:paraId="2A70B43A" w14:textId="77777777" w:rsidR="00E15EA4" w:rsidRPr="002F6C84" w:rsidRDefault="00E15EA4" w:rsidP="002F6C84">
            <w:pPr>
              <w:ind w:right="237"/>
              <w:jc w:val="center"/>
              <w:rPr>
                <w:sz w:val="20"/>
              </w:rPr>
            </w:pPr>
            <w:r w:rsidRPr="002F6C84">
              <w:rPr>
                <w:sz w:val="20"/>
              </w:rPr>
              <w:t>55</w:t>
            </w:r>
          </w:p>
        </w:tc>
        <w:tc>
          <w:tcPr>
            <w:tcW w:w="1184" w:type="dxa"/>
          </w:tcPr>
          <w:p w14:paraId="40BEE9F7" w14:textId="77777777" w:rsidR="00E15EA4" w:rsidRPr="002F6C84" w:rsidRDefault="00E15EA4" w:rsidP="000A3467">
            <w:pPr>
              <w:ind w:right="237"/>
              <w:jc w:val="center"/>
              <w:rPr>
                <w:sz w:val="20"/>
              </w:rPr>
            </w:pPr>
            <w:r w:rsidRPr="002F6C84">
              <w:rPr>
                <w:sz w:val="20"/>
              </w:rPr>
              <w:t>49</w:t>
            </w:r>
          </w:p>
        </w:tc>
        <w:tc>
          <w:tcPr>
            <w:tcW w:w="1192" w:type="dxa"/>
          </w:tcPr>
          <w:p w14:paraId="77227AD9" w14:textId="77777777" w:rsidR="00E15EA4" w:rsidRPr="002F6C84" w:rsidRDefault="00E15EA4" w:rsidP="000A3467">
            <w:pPr>
              <w:ind w:right="237"/>
              <w:jc w:val="center"/>
              <w:rPr>
                <w:sz w:val="20"/>
              </w:rPr>
            </w:pPr>
            <w:r w:rsidRPr="002F6C84">
              <w:rPr>
                <w:sz w:val="20"/>
              </w:rPr>
              <w:t>62</w:t>
            </w:r>
          </w:p>
        </w:tc>
        <w:tc>
          <w:tcPr>
            <w:tcW w:w="1176" w:type="dxa"/>
          </w:tcPr>
          <w:p w14:paraId="00CFDA09" w14:textId="77777777" w:rsidR="00E15EA4" w:rsidRPr="002F6C84" w:rsidRDefault="00E15EA4" w:rsidP="000A3467">
            <w:pPr>
              <w:ind w:right="237"/>
              <w:jc w:val="center"/>
              <w:rPr>
                <w:sz w:val="20"/>
              </w:rPr>
            </w:pPr>
            <w:r w:rsidRPr="002F6C84">
              <w:rPr>
                <w:sz w:val="20"/>
              </w:rPr>
              <w:t>72</w:t>
            </w:r>
          </w:p>
        </w:tc>
        <w:tc>
          <w:tcPr>
            <w:tcW w:w="1171" w:type="dxa"/>
          </w:tcPr>
          <w:p w14:paraId="40EC40D8" w14:textId="77777777" w:rsidR="00E15EA4" w:rsidRPr="002F6C84" w:rsidRDefault="00E15EA4" w:rsidP="000A3467">
            <w:pPr>
              <w:ind w:right="237"/>
              <w:jc w:val="center"/>
              <w:rPr>
                <w:sz w:val="20"/>
              </w:rPr>
            </w:pPr>
            <w:r w:rsidRPr="002F6C84">
              <w:rPr>
                <w:sz w:val="20"/>
              </w:rPr>
              <w:t>51</w:t>
            </w:r>
          </w:p>
        </w:tc>
        <w:tc>
          <w:tcPr>
            <w:tcW w:w="939" w:type="dxa"/>
          </w:tcPr>
          <w:p w14:paraId="42807370" w14:textId="77777777" w:rsidR="00E15EA4" w:rsidRPr="002F6C84" w:rsidRDefault="00E15EA4" w:rsidP="00C114D4">
            <w:pPr>
              <w:jc w:val="center"/>
              <w:rPr>
                <w:sz w:val="20"/>
              </w:rPr>
            </w:pPr>
            <w:r w:rsidRPr="002F6C84">
              <w:rPr>
                <w:sz w:val="20"/>
              </w:rPr>
              <w:t>58</w:t>
            </w:r>
          </w:p>
        </w:tc>
      </w:tr>
      <w:tr w:rsidR="00E15EA4" w14:paraId="6A908EFC" w14:textId="77777777" w:rsidTr="00C114D4">
        <w:trPr>
          <w:trHeight w:val="567"/>
        </w:trPr>
        <w:tc>
          <w:tcPr>
            <w:tcW w:w="1231" w:type="dxa"/>
          </w:tcPr>
          <w:p w14:paraId="354D3F39" w14:textId="77777777" w:rsidR="00E15EA4" w:rsidRPr="002F6C84" w:rsidRDefault="00E15EA4" w:rsidP="00651FB6">
            <w:pPr>
              <w:ind w:right="237"/>
              <w:rPr>
                <w:sz w:val="20"/>
              </w:rPr>
            </w:pPr>
            <w:r w:rsidRPr="002F6C84">
              <w:rPr>
                <w:sz w:val="20"/>
              </w:rPr>
              <w:t>Access to training</w:t>
            </w:r>
          </w:p>
        </w:tc>
        <w:tc>
          <w:tcPr>
            <w:tcW w:w="1187" w:type="dxa"/>
            <w:gridSpan w:val="2"/>
          </w:tcPr>
          <w:p w14:paraId="6F7F393B" w14:textId="77777777" w:rsidR="00E15EA4" w:rsidRPr="002F6C84" w:rsidRDefault="00E15EA4" w:rsidP="002F6C84">
            <w:pPr>
              <w:ind w:right="237"/>
              <w:jc w:val="center"/>
              <w:rPr>
                <w:sz w:val="20"/>
              </w:rPr>
            </w:pPr>
            <w:r w:rsidRPr="002F6C84">
              <w:rPr>
                <w:sz w:val="20"/>
              </w:rPr>
              <w:t>2</w:t>
            </w:r>
          </w:p>
        </w:tc>
        <w:tc>
          <w:tcPr>
            <w:tcW w:w="1184" w:type="dxa"/>
          </w:tcPr>
          <w:p w14:paraId="7EC3903B" w14:textId="77777777" w:rsidR="00E15EA4" w:rsidRPr="002F6C84" w:rsidRDefault="00E15EA4" w:rsidP="000A3467">
            <w:pPr>
              <w:ind w:right="237"/>
              <w:jc w:val="center"/>
              <w:rPr>
                <w:sz w:val="20"/>
              </w:rPr>
            </w:pPr>
            <w:r w:rsidRPr="002F6C84">
              <w:rPr>
                <w:sz w:val="20"/>
              </w:rPr>
              <w:t>3</w:t>
            </w:r>
          </w:p>
        </w:tc>
        <w:tc>
          <w:tcPr>
            <w:tcW w:w="1192" w:type="dxa"/>
          </w:tcPr>
          <w:p w14:paraId="2F8114C1" w14:textId="77777777" w:rsidR="00E15EA4" w:rsidRPr="002F6C84" w:rsidRDefault="00E15EA4" w:rsidP="000A3467">
            <w:pPr>
              <w:ind w:right="237"/>
              <w:jc w:val="center"/>
              <w:rPr>
                <w:sz w:val="20"/>
              </w:rPr>
            </w:pPr>
            <w:r w:rsidRPr="002F6C84">
              <w:rPr>
                <w:sz w:val="20"/>
              </w:rPr>
              <w:t>1</w:t>
            </w:r>
          </w:p>
        </w:tc>
        <w:tc>
          <w:tcPr>
            <w:tcW w:w="1176" w:type="dxa"/>
          </w:tcPr>
          <w:p w14:paraId="06060A8E" w14:textId="77777777" w:rsidR="00E15EA4" w:rsidRPr="002F6C84" w:rsidRDefault="00E15EA4" w:rsidP="000A3467">
            <w:pPr>
              <w:ind w:right="237"/>
              <w:jc w:val="center"/>
              <w:rPr>
                <w:sz w:val="20"/>
              </w:rPr>
            </w:pPr>
            <w:r w:rsidRPr="002F6C84">
              <w:rPr>
                <w:sz w:val="20"/>
              </w:rPr>
              <w:t>25</w:t>
            </w:r>
          </w:p>
        </w:tc>
        <w:tc>
          <w:tcPr>
            <w:tcW w:w="1171" w:type="dxa"/>
          </w:tcPr>
          <w:p w14:paraId="30CFA647" w14:textId="77777777" w:rsidR="00E15EA4" w:rsidRPr="002F6C84" w:rsidRDefault="00E15EA4" w:rsidP="000A3467">
            <w:pPr>
              <w:ind w:right="237"/>
              <w:jc w:val="center"/>
              <w:rPr>
                <w:sz w:val="20"/>
              </w:rPr>
            </w:pPr>
            <w:r w:rsidRPr="002F6C84">
              <w:rPr>
                <w:sz w:val="20"/>
              </w:rPr>
              <w:t>0</w:t>
            </w:r>
          </w:p>
        </w:tc>
        <w:tc>
          <w:tcPr>
            <w:tcW w:w="939" w:type="dxa"/>
          </w:tcPr>
          <w:p w14:paraId="292AD094" w14:textId="77777777" w:rsidR="00E15EA4" w:rsidRPr="002F6C84" w:rsidRDefault="00E15EA4" w:rsidP="00C114D4">
            <w:pPr>
              <w:jc w:val="center"/>
              <w:rPr>
                <w:sz w:val="20"/>
              </w:rPr>
            </w:pPr>
            <w:r w:rsidRPr="002F6C84">
              <w:rPr>
                <w:sz w:val="20"/>
              </w:rPr>
              <w:t>6</w:t>
            </w:r>
          </w:p>
        </w:tc>
      </w:tr>
      <w:tr w:rsidR="00E15EA4" w14:paraId="7B0CAA27" w14:textId="77777777" w:rsidTr="00C114D4">
        <w:trPr>
          <w:trHeight w:val="590"/>
        </w:trPr>
        <w:tc>
          <w:tcPr>
            <w:tcW w:w="1231" w:type="dxa"/>
          </w:tcPr>
          <w:p w14:paraId="46CA55DA" w14:textId="77777777" w:rsidR="00E15EA4" w:rsidRPr="002F6C84" w:rsidRDefault="00E15EA4" w:rsidP="00651FB6">
            <w:pPr>
              <w:ind w:right="237"/>
              <w:rPr>
                <w:sz w:val="20"/>
              </w:rPr>
            </w:pPr>
            <w:r w:rsidRPr="002F6C84">
              <w:rPr>
                <w:sz w:val="20"/>
              </w:rPr>
              <w:t>Paid sick leave</w:t>
            </w:r>
          </w:p>
        </w:tc>
        <w:tc>
          <w:tcPr>
            <w:tcW w:w="1187" w:type="dxa"/>
            <w:gridSpan w:val="2"/>
          </w:tcPr>
          <w:p w14:paraId="5B4C7325" w14:textId="77777777" w:rsidR="00E15EA4" w:rsidRPr="002F6C84" w:rsidRDefault="00E15EA4" w:rsidP="002F6C84">
            <w:pPr>
              <w:ind w:right="237"/>
              <w:jc w:val="center"/>
              <w:rPr>
                <w:sz w:val="20"/>
              </w:rPr>
            </w:pPr>
            <w:r w:rsidRPr="002F6C84">
              <w:rPr>
                <w:sz w:val="20"/>
              </w:rPr>
              <w:t>31</w:t>
            </w:r>
          </w:p>
        </w:tc>
        <w:tc>
          <w:tcPr>
            <w:tcW w:w="1184" w:type="dxa"/>
          </w:tcPr>
          <w:p w14:paraId="1EEA4250" w14:textId="77777777" w:rsidR="00E15EA4" w:rsidRPr="002F6C84" w:rsidRDefault="00E15EA4" w:rsidP="000A3467">
            <w:pPr>
              <w:ind w:right="237"/>
              <w:jc w:val="center"/>
              <w:rPr>
                <w:sz w:val="20"/>
              </w:rPr>
            </w:pPr>
            <w:r w:rsidRPr="002F6C84">
              <w:rPr>
                <w:sz w:val="20"/>
              </w:rPr>
              <w:t>35</w:t>
            </w:r>
          </w:p>
        </w:tc>
        <w:tc>
          <w:tcPr>
            <w:tcW w:w="1192" w:type="dxa"/>
          </w:tcPr>
          <w:p w14:paraId="1BFEB1CF" w14:textId="77777777" w:rsidR="00E15EA4" w:rsidRPr="002F6C84" w:rsidRDefault="00E15EA4" w:rsidP="000A3467">
            <w:pPr>
              <w:ind w:right="237"/>
              <w:jc w:val="center"/>
              <w:rPr>
                <w:sz w:val="20"/>
              </w:rPr>
            </w:pPr>
            <w:r w:rsidRPr="002F6C84">
              <w:rPr>
                <w:sz w:val="20"/>
              </w:rPr>
              <w:t>73</w:t>
            </w:r>
          </w:p>
        </w:tc>
        <w:tc>
          <w:tcPr>
            <w:tcW w:w="1176" w:type="dxa"/>
          </w:tcPr>
          <w:p w14:paraId="14F81543" w14:textId="77777777" w:rsidR="00E15EA4" w:rsidRPr="002F6C84" w:rsidRDefault="00E15EA4" w:rsidP="000A3467">
            <w:pPr>
              <w:ind w:right="237"/>
              <w:jc w:val="center"/>
              <w:rPr>
                <w:sz w:val="20"/>
              </w:rPr>
            </w:pPr>
            <w:r w:rsidRPr="002F6C84">
              <w:rPr>
                <w:sz w:val="20"/>
              </w:rPr>
              <w:t>77</w:t>
            </w:r>
          </w:p>
        </w:tc>
        <w:tc>
          <w:tcPr>
            <w:tcW w:w="1171" w:type="dxa"/>
          </w:tcPr>
          <w:p w14:paraId="0C5474A0" w14:textId="77777777" w:rsidR="00E15EA4" w:rsidRPr="002F6C84" w:rsidRDefault="00E15EA4" w:rsidP="000A3467">
            <w:pPr>
              <w:ind w:right="237"/>
              <w:jc w:val="center"/>
              <w:rPr>
                <w:sz w:val="20"/>
              </w:rPr>
            </w:pPr>
            <w:r w:rsidRPr="002F6C84">
              <w:rPr>
                <w:sz w:val="20"/>
              </w:rPr>
              <w:t>21</w:t>
            </w:r>
          </w:p>
        </w:tc>
        <w:tc>
          <w:tcPr>
            <w:tcW w:w="939" w:type="dxa"/>
          </w:tcPr>
          <w:p w14:paraId="1F0AC3F7" w14:textId="77777777" w:rsidR="00E15EA4" w:rsidRPr="002F6C84" w:rsidRDefault="00E15EA4" w:rsidP="00C114D4">
            <w:pPr>
              <w:jc w:val="center"/>
              <w:rPr>
                <w:sz w:val="20"/>
              </w:rPr>
            </w:pPr>
            <w:r w:rsidRPr="002F6C84">
              <w:rPr>
                <w:sz w:val="20"/>
              </w:rPr>
              <w:t>47</w:t>
            </w:r>
          </w:p>
        </w:tc>
      </w:tr>
      <w:tr w:rsidR="00E15EA4" w14:paraId="3EC97E80" w14:textId="77777777" w:rsidTr="00C114D4">
        <w:tblPrEx>
          <w:tblLook w:val="0000" w:firstRow="0" w:lastRow="0" w:firstColumn="0" w:lastColumn="0" w:noHBand="0" w:noVBand="0"/>
        </w:tblPrEx>
        <w:trPr>
          <w:trHeight w:val="472"/>
        </w:trPr>
        <w:tc>
          <w:tcPr>
            <w:tcW w:w="1231" w:type="dxa"/>
          </w:tcPr>
          <w:p w14:paraId="2FE888B0" w14:textId="77777777" w:rsidR="00E15EA4" w:rsidRPr="002F6C84" w:rsidRDefault="00E15EA4" w:rsidP="00651FB6">
            <w:pPr>
              <w:spacing w:after="200"/>
              <w:ind w:right="-510"/>
              <w:rPr>
                <w:sz w:val="20"/>
              </w:rPr>
            </w:pPr>
            <w:r w:rsidRPr="002F6C84">
              <w:rPr>
                <w:sz w:val="20"/>
              </w:rPr>
              <w:t>Other benefit</w:t>
            </w:r>
          </w:p>
        </w:tc>
        <w:tc>
          <w:tcPr>
            <w:tcW w:w="1171" w:type="dxa"/>
          </w:tcPr>
          <w:p w14:paraId="06D09EC9" w14:textId="77777777" w:rsidR="00E15EA4" w:rsidRPr="002F6C84" w:rsidRDefault="00E15EA4" w:rsidP="002F6C84">
            <w:pPr>
              <w:ind w:left="108" w:right="-510"/>
              <w:jc w:val="center"/>
              <w:rPr>
                <w:sz w:val="20"/>
              </w:rPr>
            </w:pPr>
            <w:r w:rsidRPr="002F6C84">
              <w:rPr>
                <w:sz w:val="20"/>
              </w:rPr>
              <w:t>1</w:t>
            </w:r>
          </w:p>
        </w:tc>
        <w:tc>
          <w:tcPr>
            <w:tcW w:w="1200" w:type="dxa"/>
            <w:gridSpan w:val="2"/>
          </w:tcPr>
          <w:p w14:paraId="0C682624" w14:textId="77777777" w:rsidR="00E15EA4" w:rsidRPr="002F6C84" w:rsidRDefault="00E15EA4" w:rsidP="000A3467">
            <w:pPr>
              <w:ind w:left="108" w:right="-510"/>
              <w:jc w:val="center"/>
              <w:rPr>
                <w:sz w:val="20"/>
              </w:rPr>
            </w:pPr>
            <w:r w:rsidRPr="002F6C84">
              <w:rPr>
                <w:sz w:val="20"/>
              </w:rPr>
              <w:t>0</w:t>
            </w:r>
          </w:p>
        </w:tc>
        <w:tc>
          <w:tcPr>
            <w:tcW w:w="1192" w:type="dxa"/>
          </w:tcPr>
          <w:p w14:paraId="128BF17F" w14:textId="77777777" w:rsidR="00E15EA4" w:rsidRPr="002F6C84" w:rsidRDefault="00E15EA4" w:rsidP="000A3467">
            <w:pPr>
              <w:ind w:left="108" w:right="-510"/>
              <w:jc w:val="center"/>
              <w:rPr>
                <w:sz w:val="20"/>
              </w:rPr>
            </w:pPr>
            <w:r w:rsidRPr="002F6C84">
              <w:rPr>
                <w:sz w:val="20"/>
              </w:rPr>
              <w:t>0</w:t>
            </w:r>
          </w:p>
        </w:tc>
        <w:tc>
          <w:tcPr>
            <w:tcW w:w="1176" w:type="dxa"/>
          </w:tcPr>
          <w:p w14:paraId="1DBC5461" w14:textId="77777777" w:rsidR="00E15EA4" w:rsidRPr="002F6C84" w:rsidRDefault="00E15EA4" w:rsidP="000A3467">
            <w:pPr>
              <w:ind w:left="108" w:right="-510"/>
              <w:jc w:val="center"/>
              <w:rPr>
                <w:sz w:val="20"/>
              </w:rPr>
            </w:pPr>
            <w:r w:rsidRPr="002F6C84">
              <w:rPr>
                <w:sz w:val="20"/>
              </w:rPr>
              <w:t>0</w:t>
            </w:r>
          </w:p>
        </w:tc>
        <w:tc>
          <w:tcPr>
            <w:tcW w:w="1171" w:type="dxa"/>
          </w:tcPr>
          <w:p w14:paraId="5CFDCC67" w14:textId="77777777" w:rsidR="00E15EA4" w:rsidRPr="002F6C84" w:rsidRDefault="00E15EA4" w:rsidP="000A3467">
            <w:pPr>
              <w:ind w:left="108" w:right="-510"/>
              <w:jc w:val="center"/>
              <w:rPr>
                <w:sz w:val="20"/>
              </w:rPr>
            </w:pPr>
            <w:r w:rsidRPr="002F6C84">
              <w:rPr>
                <w:sz w:val="20"/>
              </w:rPr>
              <w:t>12</w:t>
            </w:r>
          </w:p>
        </w:tc>
        <w:tc>
          <w:tcPr>
            <w:tcW w:w="939" w:type="dxa"/>
          </w:tcPr>
          <w:p w14:paraId="0F9769FB" w14:textId="77777777" w:rsidR="00E15EA4" w:rsidRPr="002F6C84" w:rsidRDefault="00E15EA4" w:rsidP="00C114D4">
            <w:pPr>
              <w:ind w:left="108" w:right="-510"/>
              <w:jc w:val="center"/>
              <w:rPr>
                <w:sz w:val="20"/>
              </w:rPr>
            </w:pPr>
            <w:r w:rsidRPr="002F6C84">
              <w:rPr>
                <w:sz w:val="20"/>
              </w:rPr>
              <w:t>3</w:t>
            </w:r>
          </w:p>
        </w:tc>
      </w:tr>
    </w:tbl>
    <w:p w14:paraId="5306D6CE" w14:textId="77777777" w:rsidR="00E15EA4" w:rsidRPr="00375462" w:rsidRDefault="00E15EA4" w:rsidP="00651FB6">
      <w:pPr>
        <w:spacing w:line="360" w:lineRule="auto"/>
        <w:ind w:right="662"/>
        <w:jc w:val="both"/>
        <w:rPr>
          <w:sz w:val="20"/>
        </w:rPr>
      </w:pPr>
      <w:r w:rsidRPr="00375462">
        <w:rPr>
          <w:sz w:val="20"/>
        </w:rPr>
        <w:t xml:space="preserve">Source: </w:t>
      </w:r>
      <w:proofErr w:type="spellStart"/>
      <w:r w:rsidRPr="00375462">
        <w:rPr>
          <w:sz w:val="20"/>
        </w:rPr>
        <w:t>Abdoulay</w:t>
      </w:r>
      <w:proofErr w:type="spellEnd"/>
      <w:r w:rsidRPr="00375462">
        <w:rPr>
          <w:sz w:val="20"/>
        </w:rPr>
        <w:t xml:space="preserve"> Diop, </w:t>
      </w:r>
      <w:proofErr w:type="spellStart"/>
      <w:r w:rsidRPr="00375462">
        <w:rPr>
          <w:sz w:val="20"/>
        </w:rPr>
        <w:t>KienTrung</w:t>
      </w:r>
      <w:proofErr w:type="spellEnd"/>
      <w:r w:rsidRPr="00375462">
        <w:rPr>
          <w:sz w:val="20"/>
        </w:rPr>
        <w:t xml:space="preserve"> Le, and Michael </w:t>
      </w:r>
      <w:proofErr w:type="spellStart"/>
      <w:r w:rsidRPr="00375462">
        <w:rPr>
          <w:sz w:val="20"/>
        </w:rPr>
        <w:t>C.Ewers</w:t>
      </w:r>
      <w:proofErr w:type="spellEnd"/>
      <w:r w:rsidRPr="00375462">
        <w:rPr>
          <w:sz w:val="20"/>
        </w:rPr>
        <w:t xml:space="preserve">, </w:t>
      </w:r>
      <w:r w:rsidRPr="00375462">
        <w:rPr>
          <w:i/>
          <w:sz w:val="20"/>
        </w:rPr>
        <w:t>India Migration Report</w:t>
      </w:r>
      <w:r w:rsidRPr="00375462">
        <w:rPr>
          <w:sz w:val="20"/>
        </w:rPr>
        <w:t xml:space="preserve"> 2016 (Routledge) Edited by </w:t>
      </w:r>
      <w:proofErr w:type="spellStart"/>
      <w:r w:rsidRPr="00375462">
        <w:rPr>
          <w:sz w:val="20"/>
        </w:rPr>
        <w:t>S.IrudayaRajan</w:t>
      </w:r>
      <w:proofErr w:type="spellEnd"/>
      <w:r w:rsidRPr="00375462">
        <w:rPr>
          <w:sz w:val="20"/>
        </w:rPr>
        <w:t>. P, 79</w:t>
      </w:r>
    </w:p>
    <w:p w14:paraId="486B82AA" w14:textId="77777777" w:rsidR="00EF01EC" w:rsidRDefault="00EF01EC" w:rsidP="00DD7A7D">
      <w:pPr>
        <w:spacing w:line="360" w:lineRule="auto"/>
        <w:jc w:val="both"/>
        <w:rPr>
          <w:szCs w:val="24"/>
        </w:rPr>
      </w:pPr>
      <w:r w:rsidRPr="00EF01EC">
        <w:rPr>
          <w:szCs w:val="24"/>
        </w:rPr>
        <w:t xml:space="preserve">Table 2 and table 3 display how </w:t>
      </w:r>
      <w:r w:rsidR="00F8233C">
        <w:rPr>
          <w:szCs w:val="24"/>
        </w:rPr>
        <w:t>G</w:t>
      </w:r>
      <w:r w:rsidRPr="00EF01EC">
        <w:rPr>
          <w:szCs w:val="24"/>
        </w:rPr>
        <w:t>ulf countries provide some other benefits which is a basic requirement of migrant workers. Despite of salary, they are receiving some other benefits such as housing allowance, health insurance, paid holiday, food allowance, free water and electricity, paid sick leave, access to training, and also some other benefit.</w:t>
      </w:r>
    </w:p>
    <w:p w14:paraId="5F8087D3" w14:textId="77777777" w:rsidR="00E15EA4" w:rsidRPr="009E7591" w:rsidRDefault="00E15EA4" w:rsidP="00DD7A7D">
      <w:pPr>
        <w:spacing w:line="360" w:lineRule="auto"/>
        <w:jc w:val="both"/>
        <w:rPr>
          <w:b/>
        </w:rPr>
      </w:pPr>
      <w:r w:rsidRPr="007953A7">
        <w:rPr>
          <w:b/>
        </w:rPr>
        <w:t>Housing Allowance</w:t>
      </w:r>
      <w:r>
        <w:rPr>
          <w:b/>
        </w:rPr>
        <w:t>-</w:t>
      </w:r>
      <w:r w:rsidR="00EF01EC" w:rsidRPr="00EF01EC">
        <w:rPr>
          <w:bCs/>
        </w:rPr>
        <w:t xml:space="preserve">In Saudi Arabia, most of the governmental organisations and </w:t>
      </w:r>
      <w:proofErr w:type="spellStart"/>
      <w:r w:rsidR="00EF01EC" w:rsidRPr="00EF01EC">
        <w:rPr>
          <w:bCs/>
        </w:rPr>
        <w:t>kafeel</w:t>
      </w:r>
      <w:proofErr w:type="spellEnd"/>
      <w:r w:rsidR="00EF01EC" w:rsidRPr="00EF01EC">
        <w:rPr>
          <w:bCs/>
        </w:rPr>
        <w:t xml:space="preserve"> provide the house for accommodation to the migrant worker instead of that they directly cutting the amount of accommodation from their salary. In addition to their salary about 44 per cent of migrant workers is the beneficiary of the housing allowance in the GCC region except for the UAE. In Oman highest number of migrant workers 75 per cent are the beneficiary of housing allowance, 37 per cent of migrant workers received housing allowance in Qatar, and Bahrain provide housing allowance to 42 per cent of migrant workers. In Kuwait second highest number of migrant workers 64 per cent are the beneficiary of housing allowance, and Saudi Arabia provides 0 per cent housing allowance to migrant workers.</w:t>
      </w:r>
    </w:p>
    <w:p w14:paraId="60E7A236" w14:textId="77777777" w:rsidR="00E15EA4" w:rsidRPr="00F14B75" w:rsidRDefault="00E15EA4" w:rsidP="00F14B75">
      <w:pPr>
        <w:spacing w:line="360" w:lineRule="auto"/>
        <w:jc w:val="both"/>
        <w:rPr>
          <w:b/>
        </w:rPr>
      </w:pPr>
      <w:r w:rsidRPr="007953A7">
        <w:rPr>
          <w:b/>
        </w:rPr>
        <w:t>Food Allowance</w:t>
      </w:r>
      <w:r>
        <w:rPr>
          <w:b/>
        </w:rPr>
        <w:t>-</w:t>
      </w:r>
      <w:r w:rsidR="00EF01EC" w:rsidRPr="00EF01EC">
        <w:t>Despite their salary, about 31 per cent of migrant workers are the beneficiary of food allowances. Saudi Arabia provides food allowance to 35 per cent of migrant workers; Qatar to 22 per cent, Kuwait to 10 per cent, Oman to 78 per cent, and Bahrain to 11 per cent. These findings indicate that the majority of migrant workers in the GCC region especially in Saudi Arabia have to sacrifice an amount of their wage for drink and food expenses</w:t>
      </w:r>
      <w:r>
        <w:rPr>
          <w:szCs w:val="24"/>
        </w:rPr>
        <w:t>.</w:t>
      </w:r>
      <w:r>
        <w:rPr>
          <w:rStyle w:val="EndnoteReference"/>
          <w:szCs w:val="24"/>
        </w:rPr>
        <w:endnoteReference w:id="6"/>
      </w:r>
    </w:p>
    <w:p w14:paraId="3146D56C" w14:textId="77777777" w:rsidR="00E15EA4" w:rsidRPr="00F8233C" w:rsidRDefault="00E15EA4" w:rsidP="00EF01EC">
      <w:pPr>
        <w:spacing w:line="360" w:lineRule="auto"/>
        <w:jc w:val="both"/>
        <w:rPr>
          <w:szCs w:val="24"/>
        </w:rPr>
      </w:pPr>
      <w:r w:rsidRPr="007953A7">
        <w:rPr>
          <w:b/>
          <w:szCs w:val="24"/>
        </w:rPr>
        <w:lastRenderedPageBreak/>
        <w:t>Transportation Allowance</w:t>
      </w:r>
      <w:r>
        <w:rPr>
          <w:b/>
          <w:szCs w:val="24"/>
        </w:rPr>
        <w:t>-</w:t>
      </w:r>
      <w:r w:rsidR="00EF01EC" w:rsidRPr="00EF01EC">
        <w:rPr>
          <w:szCs w:val="24"/>
        </w:rPr>
        <w:t>In the GCC region except for UAE 58 per cent of migrant workers are the beneficiary of transportation allowance out of it 72 per cent of migrant workers in Oman, 62 per cent in Bahrain, 49 per cent in Saudi Arabia, 55 per cent in Kuwait, 51 per cent of migrant workers in Qatar are the beneficiary of travel allowances. These data indicate that more than 50 per cent of migrant workers have to spend their salary on transportation services</w:t>
      </w:r>
      <w:r>
        <w:rPr>
          <w:szCs w:val="24"/>
        </w:rPr>
        <w:t>.</w:t>
      </w:r>
    </w:p>
    <w:p w14:paraId="057667FB" w14:textId="77777777" w:rsidR="00E15EA4" w:rsidRPr="00E9667B" w:rsidRDefault="00E15EA4" w:rsidP="00E9667B">
      <w:pPr>
        <w:spacing w:line="360" w:lineRule="auto"/>
        <w:jc w:val="both"/>
        <w:rPr>
          <w:b/>
          <w:szCs w:val="24"/>
        </w:rPr>
      </w:pPr>
      <w:r w:rsidRPr="0087298A">
        <w:rPr>
          <w:b/>
          <w:szCs w:val="24"/>
        </w:rPr>
        <w:t>Paid Leave, Sick Leave, and Annual Leave</w:t>
      </w:r>
      <w:r>
        <w:rPr>
          <w:b/>
          <w:szCs w:val="24"/>
        </w:rPr>
        <w:t>-</w:t>
      </w:r>
      <w:r w:rsidR="00EF01EC" w:rsidRPr="00EF01EC">
        <w:rPr>
          <w:szCs w:val="24"/>
        </w:rPr>
        <w:t>The majority of migrant workers get their annual leave only after rendering services for at least two years in their host countries. In the GCC region except for UAE, 47 per cent of migrant workers are the beneficiary of paid leave and sick leave. Out of 47 per cent, 77 per cent of migrant workers are the beneficiary of paid and sick leave in Oman. In Saudi Arabia, 29 per cent of migrant workers is the beneficiary of paid leave and 35 per cent of a migrant worker is the beneficiary of paid sick leave. That finding indicates the majority of migrant workers in Saudi Arabia are not getting paid sick leave which is an indicator of human rights violations. Kuwait provides paid sick leave to 31 per cent of migrant workers and paid leave to 24 per cent of migrant workers. In Bahrain, the beneficiary of paid sick leave is 73 per cent of migrant workers and the beneficiary of paid leave of 72 per cent of migrant workers. In Qatar 41 per cent of migrant worker are the beneficiary of paid leave and 21 per cent of migrant workers are the beneficiary of paid sick leave</w:t>
      </w:r>
      <w:r>
        <w:rPr>
          <w:szCs w:val="24"/>
        </w:rPr>
        <w:t>.</w:t>
      </w:r>
      <w:r>
        <w:rPr>
          <w:rStyle w:val="EndnoteReference"/>
          <w:szCs w:val="24"/>
        </w:rPr>
        <w:endnoteReference w:id="7"/>
      </w:r>
    </w:p>
    <w:p w14:paraId="2A7FB032" w14:textId="77777777" w:rsidR="00EF01EC" w:rsidRDefault="00E15EA4" w:rsidP="00A65201">
      <w:pPr>
        <w:spacing w:line="360" w:lineRule="auto"/>
        <w:jc w:val="both"/>
        <w:rPr>
          <w:szCs w:val="24"/>
        </w:rPr>
      </w:pPr>
      <w:r w:rsidRPr="009F0150">
        <w:rPr>
          <w:b/>
          <w:szCs w:val="24"/>
        </w:rPr>
        <w:t>Health insurance and Accidental insurance</w:t>
      </w:r>
      <w:r>
        <w:rPr>
          <w:b/>
          <w:szCs w:val="24"/>
        </w:rPr>
        <w:t>-</w:t>
      </w:r>
      <w:r w:rsidR="00EF01EC" w:rsidRPr="00EF01EC">
        <w:rPr>
          <w:szCs w:val="24"/>
        </w:rPr>
        <w:t>The data also provide information regarding the health insurance of migrant workers and also related to the accidental insurance of migrant workers which is given by the employers to employees. In the GCC region, except UAE and Saudi Arabia all GCC countries provide health insurance to 79 per cent of migrant workers and 16 per cent of migrant workers are the beneficiary of accidental insurance. In Kuwait, the number of migrant workers who are getting the benefit of health insurance is 52 per cent and 3 per cent of migrant workers are the beneficiaries of accidental insurance. 22 per cent of migrant workers are getting the benefit of health insurance in Bahrain and also 17 per cent of migrant workers in Bahrain are getting accidental insurance. In Qatar, 21 per cent of migrant workers are the beneficiary of health insurance and 10 per cent of migrant workers are the beneficiary of accidental insurance. 77 per cent of migrant workers in Oman are getting the benefit of health insurance and 75 per cent of migrant workers are getting the benefit of accidental insurance.</w:t>
      </w:r>
    </w:p>
    <w:p w14:paraId="7F9747DA" w14:textId="77777777" w:rsidR="00E15EA4" w:rsidRPr="00A65201" w:rsidRDefault="00E15EA4" w:rsidP="00A65201">
      <w:pPr>
        <w:spacing w:line="360" w:lineRule="auto"/>
        <w:jc w:val="both"/>
        <w:rPr>
          <w:b/>
          <w:szCs w:val="24"/>
        </w:rPr>
      </w:pPr>
      <w:r>
        <w:rPr>
          <w:b/>
          <w:szCs w:val="24"/>
        </w:rPr>
        <w:lastRenderedPageBreak/>
        <w:t>Despite all the allowances, some Migrants workers are not getting any kind of benefits-</w:t>
      </w:r>
      <w:r w:rsidR="00EF01EC" w:rsidRPr="00EF01EC">
        <w:rPr>
          <w:szCs w:val="24"/>
        </w:rPr>
        <w:t>In the GCC region except for UAE, 11 per cent of migrant workers are not getting any kind of benefits. Out of 11 per cent in Bahrain, 12 per cent of migrant workers are not beneficiaries of any kind of benefits, in Saudi Arabia 5 per cent, in Kuwait 4 per cent, in Oman 13 per cent, and in Qatar 21 per cent of migrant workers are not getting any single benefits except their monthly salary.</w:t>
      </w:r>
    </w:p>
    <w:p w14:paraId="69AC604B" w14:textId="77777777" w:rsidR="00EF01EC" w:rsidRPr="00EF01EC" w:rsidRDefault="00E15EA4" w:rsidP="00EF01EC">
      <w:pPr>
        <w:spacing w:line="360" w:lineRule="auto"/>
        <w:jc w:val="both"/>
      </w:pPr>
      <w:r>
        <w:rPr>
          <w:b/>
        </w:rPr>
        <w:t>Source of data-</w:t>
      </w:r>
      <w:r w:rsidR="00EF01EC" w:rsidRPr="00EF01EC">
        <w:t xml:space="preserve">This data was collected by </w:t>
      </w:r>
      <w:proofErr w:type="spellStart"/>
      <w:r w:rsidR="00EF01EC" w:rsidRPr="00EF01EC">
        <w:t>Abdoulay</w:t>
      </w:r>
      <w:proofErr w:type="spellEnd"/>
      <w:r w:rsidR="00EF01EC" w:rsidRPr="00EF01EC">
        <w:t xml:space="preserve"> Diop, </w:t>
      </w:r>
      <w:proofErr w:type="spellStart"/>
      <w:r w:rsidR="00EF01EC" w:rsidRPr="00EF01EC">
        <w:t>KienTrung</w:t>
      </w:r>
      <w:proofErr w:type="spellEnd"/>
      <w:r w:rsidR="00EF01EC" w:rsidRPr="00EF01EC">
        <w:t xml:space="preserve"> Le, and Michael </w:t>
      </w:r>
      <w:proofErr w:type="spellStart"/>
      <w:r w:rsidR="00EF01EC" w:rsidRPr="00EF01EC">
        <w:t>C.Ewers</w:t>
      </w:r>
      <w:proofErr w:type="spellEnd"/>
      <w:r w:rsidR="00EF01EC" w:rsidRPr="00EF01EC">
        <w:t>, in the GCC region. The researcher surveys the labour camp in the GCC region and interviewed 709 migrant workers in Kuwait, 702 migrant workers from Saudi Arabia, 701 from Bahrain, 707 from Oman, and 847 from Qatar. In the labour camp researcher randomly select migrant workers for interviews who are 18 years old and who lived in labour camps during the survey period in the GCC region.</w:t>
      </w:r>
    </w:p>
    <w:p w14:paraId="14F6FEE1" w14:textId="77777777" w:rsidR="00EF01EC" w:rsidRPr="00F8233C" w:rsidRDefault="00EF01EC" w:rsidP="00EF01EC">
      <w:pPr>
        <w:spacing w:line="360" w:lineRule="auto"/>
        <w:jc w:val="both"/>
        <w:rPr>
          <w:u w:val="single"/>
        </w:rPr>
      </w:pPr>
      <w:r w:rsidRPr="00F8233C">
        <w:rPr>
          <w:u w:val="single"/>
        </w:rPr>
        <w:t>Notes-United Arab Emirates was not included in this survey because the researcher was not obtained administrative permission to get the field survey.</w:t>
      </w:r>
    </w:p>
    <w:p w14:paraId="629CCB36" w14:textId="77777777" w:rsidR="00EF01EC" w:rsidRPr="00F8233C" w:rsidRDefault="00EF01EC" w:rsidP="00EF01EC">
      <w:pPr>
        <w:spacing w:line="360" w:lineRule="auto"/>
        <w:jc w:val="both"/>
      </w:pPr>
      <w:r w:rsidRPr="00EF01EC">
        <w:t>This study also highlights some other issues of migrant workers which are related to the living and working condition of migrant workers such as forced labour, the kafala system (sponsor ship problem), Working hour, Denial of freedom of association</w:t>
      </w:r>
      <w:r>
        <w:t>,</w:t>
      </w:r>
      <w:r w:rsidRPr="00EF01EC">
        <w:t xml:space="preserve"> and also, many other issues which contribute to human rights violation of migrant workers is unnoticed and also these issues are not reported by migrant workers due to some conditional reason.</w:t>
      </w:r>
    </w:p>
    <w:p w14:paraId="342CCFC7" w14:textId="77777777" w:rsidR="00E15EA4" w:rsidRPr="00CE0BDC" w:rsidRDefault="00E15EA4" w:rsidP="00EF01EC">
      <w:pPr>
        <w:spacing w:line="360" w:lineRule="auto"/>
        <w:jc w:val="both"/>
        <w:rPr>
          <w:b/>
          <w:szCs w:val="24"/>
        </w:rPr>
      </w:pPr>
      <w:r w:rsidRPr="00082D34">
        <w:rPr>
          <w:b/>
          <w:szCs w:val="24"/>
        </w:rPr>
        <w:t>Forced labour</w:t>
      </w:r>
      <w:r>
        <w:rPr>
          <w:b/>
          <w:szCs w:val="24"/>
        </w:rPr>
        <w:t>-</w:t>
      </w:r>
      <w:r>
        <w:t>According to Forced Labour Convention 1930 of ILO</w:t>
      </w:r>
      <w:r w:rsidRPr="006E0D94">
        <w:t>,</w:t>
      </w:r>
      <w:r>
        <w:t xml:space="preserve">Article2 of ILO forced labour convention define the category of forced labour </w:t>
      </w:r>
      <w:r w:rsidRPr="0084387B">
        <w:t>“forced or compulsory labour shall mean all work or service which is exacted from any person under the menace of any penalty and for which the said person has not offered himself voluntarily</w:t>
      </w:r>
      <w:r>
        <w:rPr>
          <w:shd w:val="clear" w:color="auto" w:fill="FFFFFF"/>
        </w:rPr>
        <w:t>.”</w:t>
      </w:r>
      <w:r>
        <w:rPr>
          <w:rStyle w:val="EndnoteReference"/>
          <w:shd w:val="clear" w:color="auto" w:fill="FFFFFF"/>
        </w:rPr>
        <w:endnoteReference w:id="8"/>
      </w:r>
      <w:r>
        <w:rPr>
          <w:shd w:val="clear" w:color="auto" w:fill="FFFFFF"/>
        </w:rPr>
        <w:t xml:space="preserve"> In some conditions</w:t>
      </w:r>
      <w:r>
        <w:rPr>
          <w:szCs w:val="24"/>
        </w:rPr>
        <w:t xml:space="preserve"> the term </w:t>
      </w:r>
      <w:r w:rsidRPr="006F1898">
        <w:rPr>
          <w:szCs w:val="24"/>
        </w:rPr>
        <w:t>forced</w:t>
      </w:r>
      <w:r>
        <w:rPr>
          <w:szCs w:val="24"/>
        </w:rPr>
        <w:t xml:space="preserve"> or compulsory labour shall not </w:t>
      </w:r>
      <w:r w:rsidRPr="006F1898">
        <w:rPr>
          <w:szCs w:val="24"/>
        </w:rPr>
        <w:t>include</w:t>
      </w:r>
      <w:r>
        <w:rPr>
          <w:szCs w:val="24"/>
        </w:rPr>
        <w:t xml:space="preserve"> the condition of forced labour as stated in ILO forced labour convention 1930 article no. 2.</w:t>
      </w:r>
      <w:r>
        <w:rPr>
          <w:rStyle w:val="EndnoteReference"/>
          <w:szCs w:val="24"/>
        </w:rPr>
        <w:endnoteReference w:id="9"/>
      </w:r>
    </w:p>
    <w:p w14:paraId="362BD41E" w14:textId="77777777" w:rsidR="00E15EA4" w:rsidRDefault="006A709F" w:rsidP="002D2A63">
      <w:pPr>
        <w:autoSpaceDE w:val="0"/>
        <w:autoSpaceDN w:val="0"/>
        <w:adjustRightInd w:val="0"/>
        <w:spacing w:after="0" w:line="360" w:lineRule="auto"/>
        <w:jc w:val="both"/>
        <w:rPr>
          <w:iCs/>
          <w:szCs w:val="24"/>
        </w:rPr>
      </w:pPr>
      <w:r w:rsidRPr="006A709F">
        <w:rPr>
          <w:iCs/>
          <w:szCs w:val="24"/>
        </w:rPr>
        <w:t>The Human right watch is an international non-governmental organization (HRW) that organization mainly conducts research and advocacy on human rights. The organization always highlights the human rights issues of a migrant workers in West Asian countries. The HRW recently interviewed 36 people who are domestic workers in Saudi Arabia whose situation clearly shows the condition of forced labour</w:t>
      </w:r>
      <w:r w:rsidR="00E15EA4">
        <w:rPr>
          <w:iCs/>
          <w:szCs w:val="24"/>
        </w:rPr>
        <w:t>.</w:t>
      </w:r>
      <w:r w:rsidR="00E15EA4">
        <w:rPr>
          <w:rStyle w:val="EndnoteReference"/>
          <w:iCs/>
          <w:szCs w:val="24"/>
        </w:rPr>
        <w:endnoteReference w:id="10"/>
      </w:r>
    </w:p>
    <w:p w14:paraId="4A756009" w14:textId="77777777" w:rsidR="00EF01EC" w:rsidRDefault="00EF01EC" w:rsidP="002D2A63">
      <w:pPr>
        <w:autoSpaceDE w:val="0"/>
        <w:autoSpaceDN w:val="0"/>
        <w:adjustRightInd w:val="0"/>
        <w:spacing w:after="0" w:line="360" w:lineRule="auto"/>
        <w:jc w:val="both"/>
        <w:rPr>
          <w:szCs w:val="24"/>
        </w:rPr>
      </w:pPr>
    </w:p>
    <w:p w14:paraId="13F20AA5" w14:textId="77777777" w:rsidR="00E15EA4" w:rsidRDefault="00E15EA4" w:rsidP="001136B7">
      <w:pPr>
        <w:tabs>
          <w:tab w:val="left" w:pos="8647"/>
        </w:tabs>
        <w:autoSpaceDE w:val="0"/>
        <w:autoSpaceDN w:val="0"/>
        <w:adjustRightInd w:val="0"/>
        <w:spacing w:after="0" w:line="360" w:lineRule="auto"/>
        <w:jc w:val="both"/>
        <w:rPr>
          <w:szCs w:val="24"/>
        </w:rPr>
      </w:pPr>
      <w:r w:rsidRPr="003D3F67">
        <w:rPr>
          <w:b/>
          <w:i/>
          <w:szCs w:val="24"/>
        </w:rPr>
        <w:lastRenderedPageBreak/>
        <w:t>Kafala System</w:t>
      </w:r>
      <w:r>
        <w:rPr>
          <w:b/>
          <w:szCs w:val="24"/>
        </w:rPr>
        <w:t xml:space="preserve"> (Sponsor ship System)-</w:t>
      </w:r>
      <w:r w:rsidR="006A709F">
        <w:t>Under the </w:t>
      </w:r>
      <w:r w:rsidR="006A709F">
        <w:rPr>
          <w:rStyle w:val="Emphasis"/>
          <w:color w:val="0E101A"/>
        </w:rPr>
        <w:t>kafala</w:t>
      </w:r>
      <w:r w:rsidR="006A709F">
        <w:t xml:space="preserve"> system in Gulf countries, national governmental companies or private companies hired a large number of workforce that workforce known as migrant workers. Under the kafala system </w:t>
      </w:r>
      <w:proofErr w:type="spellStart"/>
      <w:r w:rsidR="006A709F">
        <w:t>kafeel</w:t>
      </w:r>
      <w:proofErr w:type="spellEnd"/>
      <w:r w:rsidR="006A709F">
        <w:t xml:space="preserve"> (contractor) have full authority over migrant workers. The migrant worker also fully depends on </w:t>
      </w:r>
      <w:proofErr w:type="spellStart"/>
      <w:r w:rsidR="006A709F">
        <w:t>kafeel</w:t>
      </w:r>
      <w:proofErr w:type="spellEnd"/>
      <w:r w:rsidR="006A709F">
        <w:t xml:space="preserve"> for economic and legal needs. Here economic needs refer to the wages of workers and other allowances such as housing, transportation, food and drink and many other provided by the </w:t>
      </w:r>
      <w:proofErr w:type="spellStart"/>
      <w:r w:rsidR="006A709F">
        <w:t>kafeel</w:t>
      </w:r>
      <w:proofErr w:type="spellEnd"/>
      <w:r w:rsidR="006A709F">
        <w:t xml:space="preserve"> to the migrant workers and legal need refers to the identity documentation issue such as work permit in the country known as (Iqama </w:t>
      </w:r>
      <w:r>
        <w:rPr>
          <w:szCs w:val="24"/>
        </w:rPr>
        <w:t>).</w:t>
      </w:r>
      <w:r>
        <w:rPr>
          <w:rStyle w:val="EndnoteReference"/>
          <w:szCs w:val="24"/>
        </w:rPr>
        <w:endnoteReference w:id="11"/>
      </w:r>
    </w:p>
    <w:p w14:paraId="478F1975" w14:textId="77777777" w:rsidR="006A709F" w:rsidRPr="00843F3B" w:rsidRDefault="006A709F" w:rsidP="001136B7">
      <w:pPr>
        <w:tabs>
          <w:tab w:val="left" w:pos="8647"/>
        </w:tabs>
        <w:autoSpaceDE w:val="0"/>
        <w:autoSpaceDN w:val="0"/>
        <w:adjustRightInd w:val="0"/>
        <w:spacing w:after="0" w:line="360" w:lineRule="auto"/>
        <w:jc w:val="both"/>
        <w:rPr>
          <w:b/>
          <w:szCs w:val="24"/>
        </w:rPr>
      </w:pPr>
    </w:p>
    <w:p w14:paraId="57D07C36" w14:textId="77777777" w:rsidR="00E15EA4" w:rsidRDefault="006A709F" w:rsidP="00A04333">
      <w:pPr>
        <w:tabs>
          <w:tab w:val="left" w:pos="8647"/>
        </w:tabs>
        <w:autoSpaceDE w:val="0"/>
        <w:autoSpaceDN w:val="0"/>
        <w:adjustRightInd w:val="0"/>
        <w:spacing w:after="0" w:line="360" w:lineRule="auto"/>
        <w:jc w:val="both"/>
        <w:rPr>
          <w:szCs w:val="24"/>
        </w:rPr>
      </w:pPr>
      <w:r w:rsidRPr="006A709F">
        <w:rPr>
          <w:szCs w:val="24"/>
        </w:rPr>
        <w:t xml:space="preserve">Most of the migrant workers come to Gulf countries on </w:t>
      </w:r>
      <w:r w:rsidR="00F8233C" w:rsidRPr="006A709F">
        <w:rPr>
          <w:szCs w:val="24"/>
        </w:rPr>
        <w:t>two-year</w:t>
      </w:r>
      <w:r w:rsidRPr="006A709F">
        <w:rPr>
          <w:szCs w:val="24"/>
        </w:rPr>
        <w:t xml:space="preserve"> contract period. During the contract period, migrant workers cannot change their job and </w:t>
      </w:r>
      <w:r w:rsidR="00F8233C" w:rsidRPr="006A709F">
        <w:rPr>
          <w:szCs w:val="24"/>
        </w:rPr>
        <w:t>also,</w:t>
      </w:r>
      <w:r w:rsidRPr="006A709F">
        <w:rPr>
          <w:szCs w:val="24"/>
        </w:rPr>
        <w:t xml:space="preserve"> he cannot leave the country before the contract period. For domestic migrant workers, it is obligatory to stay in the house of the </w:t>
      </w:r>
      <w:proofErr w:type="spellStart"/>
      <w:r w:rsidRPr="006A709F">
        <w:rPr>
          <w:szCs w:val="24"/>
        </w:rPr>
        <w:t>kafeel</w:t>
      </w:r>
      <w:proofErr w:type="spellEnd"/>
      <w:r w:rsidRPr="006A709F">
        <w:rPr>
          <w:szCs w:val="24"/>
        </w:rPr>
        <w:t>, especially for women and girl migrant workers. In that situation, women and girl domestic migrant workers are facing the problem of human rights violations and are also a victim of forced labour. ILO Convention number 189, 2011 related to domestic migrant workers, under this convention article number 5 provides special rights which is “Each Member shall take measures to ensure that domestic workers enjoy effective protection against all forms of abuse, harassment and violence.”</w:t>
      </w:r>
      <w:r w:rsidR="00E15EA4">
        <w:rPr>
          <w:rStyle w:val="EndnoteReference"/>
          <w:szCs w:val="24"/>
        </w:rPr>
        <w:endnoteReference w:id="12"/>
      </w:r>
    </w:p>
    <w:p w14:paraId="743A143B" w14:textId="77777777" w:rsidR="006A709F" w:rsidRPr="001C6701" w:rsidRDefault="006A709F" w:rsidP="00A04333">
      <w:pPr>
        <w:tabs>
          <w:tab w:val="left" w:pos="8647"/>
        </w:tabs>
        <w:autoSpaceDE w:val="0"/>
        <w:autoSpaceDN w:val="0"/>
        <w:adjustRightInd w:val="0"/>
        <w:spacing w:after="0" w:line="360" w:lineRule="auto"/>
        <w:jc w:val="both"/>
        <w:rPr>
          <w:szCs w:val="24"/>
        </w:rPr>
      </w:pPr>
    </w:p>
    <w:p w14:paraId="73271BDC" w14:textId="77777777" w:rsidR="00E15EA4" w:rsidRPr="001C1691" w:rsidRDefault="00E15EA4" w:rsidP="00A10770">
      <w:pPr>
        <w:tabs>
          <w:tab w:val="left" w:pos="8647"/>
        </w:tabs>
        <w:autoSpaceDE w:val="0"/>
        <w:autoSpaceDN w:val="0"/>
        <w:adjustRightInd w:val="0"/>
        <w:spacing w:after="0" w:line="360" w:lineRule="auto"/>
        <w:jc w:val="both"/>
        <w:rPr>
          <w:b/>
          <w:szCs w:val="24"/>
        </w:rPr>
      </w:pPr>
      <w:r w:rsidRPr="00BB7EB8">
        <w:rPr>
          <w:b/>
          <w:szCs w:val="24"/>
        </w:rPr>
        <w:t>Working hour</w:t>
      </w:r>
      <w:r>
        <w:rPr>
          <w:b/>
          <w:szCs w:val="24"/>
        </w:rPr>
        <w:t>-</w:t>
      </w:r>
      <w:r w:rsidR="006A709F" w:rsidRPr="006A709F">
        <w:rPr>
          <w:szCs w:val="24"/>
        </w:rPr>
        <w:t>ILO convention number 189, 2011 related to domestic migrant workers, under this convention article number 10 provide some basic criteria for working hour which are following.</w:t>
      </w:r>
    </w:p>
    <w:p w14:paraId="3E64ADA6" w14:textId="77777777" w:rsidR="00E15EA4" w:rsidRPr="00672236" w:rsidRDefault="00E15EA4" w:rsidP="00672236">
      <w:pPr>
        <w:pStyle w:val="ListParagraph"/>
        <w:numPr>
          <w:ilvl w:val="0"/>
          <w:numId w:val="7"/>
        </w:numPr>
        <w:tabs>
          <w:tab w:val="left" w:pos="8647"/>
        </w:tabs>
        <w:autoSpaceDE w:val="0"/>
        <w:autoSpaceDN w:val="0"/>
        <w:adjustRightInd w:val="0"/>
        <w:spacing w:after="0" w:line="360" w:lineRule="auto"/>
        <w:ind w:right="567"/>
        <w:jc w:val="both"/>
        <w:rPr>
          <w:rFonts w:ascii="Times New Roman" w:hAnsi="Times New Roman" w:cs="Times New Roman"/>
          <w:sz w:val="24"/>
          <w:szCs w:val="24"/>
        </w:rPr>
      </w:pPr>
      <w:r w:rsidRPr="00672236">
        <w:rPr>
          <w:rFonts w:ascii="Times New Roman" w:hAnsi="Times New Roman" w:cs="Times New Roman"/>
          <w:sz w:val="24"/>
          <w:szCs w:val="24"/>
        </w:rPr>
        <w:t xml:space="preserve">“Each Member shall take measures towards ensuring equal treatment between domestic workers and workers generally in relation to normal hours of work, overtime compensation, periods of daily and weekly rest and paid annual leave in accordance with national laws, regulations or collective agreements, taking into account the special characteristics of domestic work”. </w:t>
      </w:r>
    </w:p>
    <w:p w14:paraId="37669458" w14:textId="77777777" w:rsidR="00E15EA4" w:rsidRPr="00672236" w:rsidRDefault="00E15EA4" w:rsidP="00672236">
      <w:pPr>
        <w:pStyle w:val="ListParagraph"/>
        <w:numPr>
          <w:ilvl w:val="0"/>
          <w:numId w:val="7"/>
        </w:numPr>
        <w:tabs>
          <w:tab w:val="left" w:pos="8647"/>
        </w:tabs>
        <w:autoSpaceDE w:val="0"/>
        <w:autoSpaceDN w:val="0"/>
        <w:adjustRightInd w:val="0"/>
        <w:spacing w:after="0" w:line="360" w:lineRule="auto"/>
        <w:ind w:right="567"/>
        <w:jc w:val="both"/>
        <w:rPr>
          <w:rFonts w:ascii="Times New Roman" w:hAnsi="Times New Roman" w:cs="Times New Roman"/>
          <w:sz w:val="24"/>
          <w:szCs w:val="24"/>
        </w:rPr>
      </w:pPr>
      <w:r w:rsidRPr="00672236">
        <w:rPr>
          <w:rFonts w:ascii="Times New Roman" w:hAnsi="Times New Roman" w:cs="Times New Roman"/>
          <w:sz w:val="24"/>
          <w:szCs w:val="24"/>
        </w:rPr>
        <w:t xml:space="preserve"> “Weekly rest shall be at least 24 consecutive hours”. </w:t>
      </w:r>
    </w:p>
    <w:p w14:paraId="7555C20B" w14:textId="77777777" w:rsidR="00E15EA4" w:rsidRPr="00672236" w:rsidRDefault="00E15EA4" w:rsidP="00672236">
      <w:pPr>
        <w:pStyle w:val="ListParagraph"/>
        <w:numPr>
          <w:ilvl w:val="0"/>
          <w:numId w:val="7"/>
        </w:numPr>
        <w:tabs>
          <w:tab w:val="left" w:pos="8647"/>
        </w:tabs>
        <w:autoSpaceDE w:val="0"/>
        <w:autoSpaceDN w:val="0"/>
        <w:adjustRightInd w:val="0"/>
        <w:spacing w:after="0" w:line="360" w:lineRule="auto"/>
        <w:ind w:right="567"/>
        <w:jc w:val="both"/>
        <w:rPr>
          <w:rFonts w:ascii="Times New Roman" w:hAnsi="Times New Roman" w:cs="Times New Roman"/>
          <w:sz w:val="24"/>
          <w:szCs w:val="24"/>
        </w:rPr>
      </w:pPr>
      <w:r w:rsidRPr="00672236">
        <w:rPr>
          <w:rFonts w:ascii="Times New Roman" w:hAnsi="Times New Roman" w:cs="Times New Roman"/>
          <w:sz w:val="24"/>
          <w:szCs w:val="24"/>
        </w:rPr>
        <w:t xml:space="preserve"> “Periods during which domestic workers are not free to dispose of their time as they please and remain at the disposal of the household in order to respond to possible calls shall be regarded as hours of work to the extent </w:t>
      </w:r>
      <w:r w:rsidRPr="00672236">
        <w:rPr>
          <w:rFonts w:ascii="Times New Roman" w:hAnsi="Times New Roman" w:cs="Times New Roman"/>
          <w:sz w:val="24"/>
          <w:szCs w:val="24"/>
        </w:rPr>
        <w:lastRenderedPageBreak/>
        <w:t>determined by national laws, regulations or collective agreements, or any other means consistent with national practice”.</w:t>
      </w:r>
      <w:r w:rsidRPr="00672236">
        <w:rPr>
          <w:rStyle w:val="EndnoteReference"/>
          <w:rFonts w:ascii="Times New Roman" w:hAnsi="Times New Roman" w:cs="Times New Roman"/>
          <w:sz w:val="24"/>
          <w:szCs w:val="24"/>
        </w:rPr>
        <w:endnoteReference w:id="13"/>
      </w:r>
    </w:p>
    <w:p w14:paraId="7602042C" w14:textId="77777777" w:rsidR="006A709F" w:rsidRDefault="006A709F" w:rsidP="007F5CFB">
      <w:pPr>
        <w:tabs>
          <w:tab w:val="left" w:pos="8647"/>
        </w:tabs>
        <w:autoSpaceDE w:val="0"/>
        <w:autoSpaceDN w:val="0"/>
        <w:adjustRightInd w:val="0"/>
        <w:spacing w:after="0" w:line="360" w:lineRule="auto"/>
        <w:jc w:val="both"/>
        <w:rPr>
          <w:szCs w:val="24"/>
        </w:rPr>
      </w:pPr>
      <w:r w:rsidRPr="006A709F">
        <w:rPr>
          <w:szCs w:val="24"/>
        </w:rPr>
        <w:t xml:space="preserve">According to many migrant workers, it’s very common to have an extra working hour without any overtime wage and </w:t>
      </w:r>
      <w:r w:rsidR="00F8233C" w:rsidRPr="006A709F">
        <w:rPr>
          <w:szCs w:val="24"/>
        </w:rPr>
        <w:t>also,</w:t>
      </w:r>
      <w:r w:rsidRPr="006A709F">
        <w:rPr>
          <w:szCs w:val="24"/>
        </w:rPr>
        <w:t xml:space="preserve"> they won’t have a weekly holiday. According to the national and international conventions, they have the right to a weekly holiday of at least 24 hours but some workers work 18 long hours including Fridays which are the national holiday of the country.</w:t>
      </w:r>
    </w:p>
    <w:p w14:paraId="466706A4" w14:textId="77777777" w:rsidR="006A709F" w:rsidRDefault="006A709F" w:rsidP="007F5CFB">
      <w:pPr>
        <w:tabs>
          <w:tab w:val="left" w:pos="8647"/>
        </w:tabs>
        <w:autoSpaceDE w:val="0"/>
        <w:autoSpaceDN w:val="0"/>
        <w:adjustRightInd w:val="0"/>
        <w:spacing w:after="0" w:line="360" w:lineRule="auto"/>
        <w:jc w:val="both"/>
        <w:rPr>
          <w:szCs w:val="24"/>
        </w:rPr>
      </w:pPr>
    </w:p>
    <w:p w14:paraId="7976A8C0" w14:textId="77777777" w:rsidR="00E15EA4" w:rsidRDefault="003D3F67" w:rsidP="00E06385">
      <w:pPr>
        <w:tabs>
          <w:tab w:val="left" w:pos="8647"/>
        </w:tabs>
        <w:autoSpaceDE w:val="0"/>
        <w:autoSpaceDN w:val="0"/>
        <w:adjustRightInd w:val="0"/>
        <w:spacing w:after="0" w:line="360" w:lineRule="auto"/>
        <w:jc w:val="both"/>
        <w:rPr>
          <w:bCs/>
          <w:szCs w:val="24"/>
        </w:rPr>
      </w:pPr>
      <w:r>
        <w:rPr>
          <w:b/>
          <w:szCs w:val="24"/>
        </w:rPr>
        <w:t>Denial of Freedom of A</w:t>
      </w:r>
      <w:r w:rsidR="00E15EA4" w:rsidRPr="00A808A8">
        <w:rPr>
          <w:b/>
          <w:szCs w:val="24"/>
        </w:rPr>
        <w:t>ssociation</w:t>
      </w:r>
      <w:r w:rsidR="00E15EA4">
        <w:rPr>
          <w:b/>
          <w:szCs w:val="24"/>
        </w:rPr>
        <w:t>-</w:t>
      </w:r>
      <w:r w:rsidR="00E15EA4">
        <w:rPr>
          <w:szCs w:val="24"/>
        </w:rPr>
        <w:t>“</w:t>
      </w:r>
      <w:r w:rsidR="00E15EA4" w:rsidRPr="00ED326F">
        <w:rPr>
          <w:szCs w:val="24"/>
        </w:rPr>
        <w:t>In December 2006, the ITUC</w:t>
      </w:r>
      <w:r w:rsidR="00E15EA4">
        <w:rPr>
          <w:szCs w:val="24"/>
        </w:rPr>
        <w:t xml:space="preserve"> (International trade union confederation)</w:t>
      </w:r>
      <w:r w:rsidR="00E15EA4" w:rsidRPr="00ED326F">
        <w:rPr>
          <w:szCs w:val="24"/>
        </w:rPr>
        <w:t xml:space="preserve"> adopted an A</w:t>
      </w:r>
      <w:r w:rsidR="00E15EA4">
        <w:rPr>
          <w:szCs w:val="24"/>
        </w:rPr>
        <w:t xml:space="preserve">ction Plan on Migrant Workers </w:t>
      </w:r>
      <w:r w:rsidR="00E15EA4" w:rsidRPr="00ED326F">
        <w:rPr>
          <w:szCs w:val="24"/>
        </w:rPr>
        <w:t>wh</w:t>
      </w:r>
      <w:r w:rsidR="00E15EA4">
        <w:rPr>
          <w:szCs w:val="24"/>
        </w:rPr>
        <w:t xml:space="preserve">ich focuses on four priorities </w:t>
      </w:r>
      <w:r w:rsidR="00E15EA4" w:rsidRPr="00ED326F">
        <w:rPr>
          <w:szCs w:val="24"/>
        </w:rPr>
        <w:t>protection of ri</w:t>
      </w:r>
      <w:r w:rsidR="00E15EA4">
        <w:rPr>
          <w:szCs w:val="24"/>
        </w:rPr>
        <w:t xml:space="preserve">ghts, unionization, sustainable development and awareness </w:t>
      </w:r>
      <w:r w:rsidR="00E15EA4" w:rsidRPr="00ED326F">
        <w:rPr>
          <w:szCs w:val="24"/>
        </w:rPr>
        <w:t>raising</w:t>
      </w:r>
      <w:r w:rsidR="00E15EA4">
        <w:rPr>
          <w:szCs w:val="24"/>
        </w:rPr>
        <w:t>.”</w:t>
      </w:r>
      <w:r w:rsidR="00E15EA4">
        <w:rPr>
          <w:rStyle w:val="EndnoteReference"/>
          <w:szCs w:val="24"/>
        </w:rPr>
        <w:endnoteReference w:id="14"/>
      </w:r>
      <w:r w:rsidR="006A709F" w:rsidRPr="006A709F">
        <w:rPr>
          <w:szCs w:val="24"/>
        </w:rPr>
        <w:t>According to ITUC one of the best ways to check the exploitation of migrant workers is to provide the trade union and provide the right to join a trade union. According to the latest ITUC annual survey, most of the migrant workers in the GCC region remain in a vulnerable situation just because of the absence of trade union rights for migrant workers</w:t>
      </w:r>
      <w:r w:rsidR="00E15EA4">
        <w:rPr>
          <w:szCs w:val="24"/>
        </w:rPr>
        <w:t xml:space="preserve">. In the gulf region except Kuwait none of the country ratified the ILO convention number 87 and ILO convention number 98 which are related to the </w:t>
      </w:r>
      <w:r w:rsidR="00E15EA4">
        <w:rPr>
          <w:bCs/>
          <w:szCs w:val="24"/>
        </w:rPr>
        <w:t>“</w:t>
      </w:r>
      <w:r w:rsidR="00E15EA4" w:rsidRPr="00DE79C9">
        <w:rPr>
          <w:bCs/>
          <w:szCs w:val="24"/>
        </w:rPr>
        <w:t>Freedom of Association and Prot</w:t>
      </w:r>
      <w:r w:rsidR="00E15EA4">
        <w:rPr>
          <w:bCs/>
          <w:szCs w:val="24"/>
        </w:rPr>
        <w:t>ection of the Right to Organise, Convention</w:t>
      </w:r>
      <w:r w:rsidR="00E15EA4" w:rsidRPr="00DE79C9">
        <w:rPr>
          <w:bCs/>
          <w:szCs w:val="24"/>
        </w:rPr>
        <w:t xml:space="preserve"> 1948</w:t>
      </w:r>
      <w:r w:rsidR="00E15EA4">
        <w:rPr>
          <w:bCs/>
          <w:szCs w:val="24"/>
        </w:rPr>
        <w:t xml:space="preserve"> (ILO c-087)”</w:t>
      </w:r>
      <w:r w:rsidR="00E15EA4">
        <w:rPr>
          <w:b/>
          <w:szCs w:val="24"/>
        </w:rPr>
        <w:t xml:space="preserve">, </w:t>
      </w:r>
      <w:r w:rsidR="00E15EA4">
        <w:rPr>
          <w:bCs/>
          <w:szCs w:val="24"/>
        </w:rPr>
        <w:t xml:space="preserve">“ILO Convention 98 </w:t>
      </w:r>
      <w:r w:rsidR="00E15EA4" w:rsidRPr="00DE79C9">
        <w:rPr>
          <w:bCs/>
          <w:szCs w:val="24"/>
        </w:rPr>
        <w:t>Right to Organise and C</w:t>
      </w:r>
      <w:r w:rsidR="00E15EA4">
        <w:rPr>
          <w:bCs/>
          <w:szCs w:val="24"/>
        </w:rPr>
        <w:t>ollective Bargaining Convention</w:t>
      </w:r>
      <w:r w:rsidR="00E15EA4" w:rsidRPr="00DE79C9">
        <w:rPr>
          <w:bCs/>
          <w:szCs w:val="24"/>
        </w:rPr>
        <w:t xml:space="preserve"> 1949</w:t>
      </w:r>
      <w:r w:rsidR="00E15EA4">
        <w:rPr>
          <w:bCs/>
          <w:szCs w:val="24"/>
        </w:rPr>
        <w:t>.”</w:t>
      </w:r>
      <w:r w:rsidR="006A709F" w:rsidRPr="006A709F">
        <w:rPr>
          <w:bCs/>
          <w:szCs w:val="24"/>
        </w:rPr>
        <w:t>These two conventions are providing basic rights to migrant workers. Saudi Arabia is not signatory of both conventions.</w:t>
      </w:r>
    </w:p>
    <w:p w14:paraId="5834D286" w14:textId="77777777" w:rsidR="006A709F" w:rsidRPr="00E06385" w:rsidRDefault="006A709F" w:rsidP="00E06385">
      <w:pPr>
        <w:tabs>
          <w:tab w:val="left" w:pos="8647"/>
        </w:tabs>
        <w:autoSpaceDE w:val="0"/>
        <w:autoSpaceDN w:val="0"/>
        <w:adjustRightInd w:val="0"/>
        <w:spacing w:after="0" w:line="360" w:lineRule="auto"/>
        <w:jc w:val="both"/>
        <w:rPr>
          <w:b/>
          <w:szCs w:val="24"/>
        </w:rPr>
      </w:pPr>
    </w:p>
    <w:p w14:paraId="7D7D336C" w14:textId="77777777" w:rsidR="00E15EA4" w:rsidRDefault="003D3F67" w:rsidP="004658EE">
      <w:pPr>
        <w:autoSpaceDE w:val="0"/>
        <w:autoSpaceDN w:val="0"/>
        <w:adjustRightInd w:val="0"/>
        <w:spacing w:after="0" w:line="360" w:lineRule="auto"/>
        <w:jc w:val="both"/>
        <w:rPr>
          <w:bCs/>
          <w:szCs w:val="24"/>
        </w:rPr>
      </w:pPr>
      <w:r>
        <w:rPr>
          <w:b/>
          <w:szCs w:val="24"/>
        </w:rPr>
        <w:t>Impact of C</w:t>
      </w:r>
      <w:r w:rsidR="00E15EA4">
        <w:rPr>
          <w:b/>
          <w:szCs w:val="24"/>
        </w:rPr>
        <w:t>ovid-19-</w:t>
      </w:r>
      <w:r w:rsidR="00E15EA4" w:rsidRPr="00AD7E9C">
        <w:rPr>
          <w:bCs/>
          <w:szCs w:val="24"/>
        </w:rPr>
        <w:t>More than 30 million migrants live in the Gulf Cooperation Council (GCC) countries of Bahrain, Kuwait, Oman, Qatar, Saudi Arabia, and the United Arab Emirates (UAE). In 2019, these migran</w:t>
      </w:r>
      <w:r w:rsidR="00E15EA4">
        <w:rPr>
          <w:bCs/>
          <w:szCs w:val="24"/>
        </w:rPr>
        <w:t>ts accounted for 51% of the GCC’</w:t>
      </w:r>
      <w:r w:rsidR="00E15EA4" w:rsidRPr="00AD7E9C">
        <w:rPr>
          <w:bCs/>
          <w:szCs w:val="24"/>
        </w:rPr>
        <w:t>s overall population and sent USD 115 billion in remittances</w:t>
      </w:r>
      <w:r w:rsidR="00E15EA4">
        <w:rPr>
          <w:bCs/>
          <w:szCs w:val="24"/>
        </w:rPr>
        <w:t xml:space="preserve"> to their home country</w:t>
      </w:r>
      <w:r w:rsidR="00E15EA4" w:rsidRPr="000F18BE">
        <w:rPr>
          <w:bCs/>
          <w:szCs w:val="24"/>
        </w:rPr>
        <w:t>.</w:t>
      </w:r>
      <w:r w:rsidR="00E15EA4">
        <w:rPr>
          <w:rStyle w:val="EndnoteReference"/>
          <w:bCs/>
          <w:szCs w:val="24"/>
        </w:rPr>
        <w:endnoteReference w:id="15"/>
      </w:r>
    </w:p>
    <w:p w14:paraId="472AA0C8" w14:textId="77777777" w:rsidR="006A709F" w:rsidRPr="001C1691" w:rsidRDefault="006A709F" w:rsidP="004658EE">
      <w:pPr>
        <w:autoSpaceDE w:val="0"/>
        <w:autoSpaceDN w:val="0"/>
        <w:adjustRightInd w:val="0"/>
        <w:spacing w:after="0" w:line="360" w:lineRule="auto"/>
        <w:jc w:val="both"/>
        <w:rPr>
          <w:b/>
          <w:szCs w:val="24"/>
        </w:rPr>
      </w:pPr>
    </w:p>
    <w:p w14:paraId="4966FDE2" w14:textId="77777777" w:rsidR="006A709F" w:rsidRPr="006A709F" w:rsidRDefault="006A709F" w:rsidP="006A709F">
      <w:pPr>
        <w:autoSpaceDE w:val="0"/>
        <w:autoSpaceDN w:val="0"/>
        <w:adjustRightInd w:val="0"/>
        <w:spacing w:after="0" w:line="360" w:lineRule="auto"/>
        <w:jc w:val="both"/>
        <w:rPr>
          <w:bCs/>
          <w:szCs w:val="24"/>
        </w:rPr>
      </w:pPr>
      <w:r w:rsidRPr="006A709F">
        <w:rPr>
          <w:bCs/>
          <w:szCs w:val="24"/>
        </w:rPr>
        <w:t>The United Arab Emirates (UAE) announced the first case of COVID-19 in the Gulf Cooperation Council (GCC) countries (specifically, Qatar, Saudi Arabia, UAE, Oman, Kuwait, and Bahrain) in January 2020, after the epidemic was originally identified in China.</w:t>
      </w:r>
    </w:p>
    <w:p w14:paraId="0F26B028" w14:textId="77777777" w:rsidR="00E15EA4" w:rsidRDefault="006A709F" w:rsidP="006A709F">
      <w:pPr>
        <w:autoSpaceDE w:val="0"/>
        <w:autoSpaceDN w:val="0"/>
        <w:adjustRightInd w:val="0"/>
        <w:spacing w:after="0" w:line="360" w:lineRule="auto"/>
        <w:jc w:val="both"/>
        <w:rPr>
          <w:bCs/>
          <w:szCs w:val="24"/>
        </w:rPr>
      </w:pPr>
      <w:r w:rsidRPr="006A709F">
        <w:rPr>
          <w:bCs/>
          <w:szCs w:val="24"/>
        </w:rPr>
        <w:t xml:space="preserve">Human Rights Watch claimed that the deportation centre in Riyadh is keeping hundreds of predominantly Ethiopian migrant workers in deplorable conditions that amount to ill-treatment. Detainees told Human Rights Watch that they were confined in cramped rooms for long periods and that guards tortured and assaulted them with rubber-coated metal rods, </w:t>
      </w:r>
      <w:r w:rsidRPr="006A709F">
        <w:rPr>
          <w:bCs/>
          <w:szCs w:val="24"/>
        </w:rPr>
        <w:lastRenderedPageBreak/>
        <w:t>resulting in at least three deaths in custody between October and November. The Saudi authorities should reveal the most important documents as soon as possible</w:t>
      </w:r>
      <w:r w:rsidR="00E15EA4" w:rsidRPr="009F45A6">
        <w:rPr>
          <w:bCs/>
          <w:szCs w:val="24"/>
        </w:rPr>
        <w:t>.</w:t>
      </w:r>
      <w:r w:rsidR="00E15EA4">
        <w:rPr>
          <w:rStyle w:val="EndnoteReference"/>
          <w:bCs/>
          <w:szCs w:val="24"/>
        </w:rPr>
        <w:endnoteReference w:id="16"/>
      </w:r>
    </w:p>
    <w:p w14:paraId="5A4094F8" w14:textId="77777777" w:rsidR="00F8233C" w:rsidRDefault="00F8233C" w:rsidP="006A709F">
      <w:pPr>
        <w:autoSpaceDE w:val="0"/>
        <w:autoSpaceDN w:val="0"/>
        <w:adjustRightInd w:val="0"/>
        <w:spacing w:after="0" w:line="360" w:lineRule="auto"/>
        <w:jc w:val="both"/>
        <w:rPr>
          <w:bCs/>
          <w:szCs w:val="24"/>
        </w:rPr>
      </w:pPr>
    </w:p>
    <w:p w14:paraId="7A9FCEE6" w14:textId="77777777" w:rsidR="008D0622" w:rsidRDefault="00E15EA4" w:rsidP="008D0622">
      <w:pPr>
        <w:autoSpaceDE w:val="0"/>
        <w:autoSpaceDN w:val="0"/>
        <w:adjustRightInd w:val="0"/>
        <w:spacing w:after="0" w:line="360" w:lineRule="auto"/>
        <w:jc w:val="both"/>
        <w:rPr>
          <w:bCs/>
          <w:szCs w:val="24"/>
        </w:rPr>
      </w:pPr>
      <w:r w:rsidRPr="00135EC0">
        <w:rPr>
          <w:bCs/>
          <w:szCs w:val="24"/>
        </w:rPr>
        <w:t>Human Rights Watch spoke by phone with seven Ethiopian migrants arrested in a Riyadh deportation centre, as well as two Indian men who were detained in the same</w:t>
      </w:r>
      <w:r>
        <w:rPr>
          <w:bCs/>
          <w:szCs w:val="24"/>
        </w:rPr>
        <w:t xml:space="preserve"> facility before being deported</w:t>
      </w:r>
      <w:r w:rsidRPr="00135EC0">
        <w:rPr>
          <w:bCs/>
          <w:szCs w:val="24"/>
        </w:rPr>
        <w:t xml:space="preserve"> in November 2020. Authorities apprehended and jailed the majority of the detainees because they did not have legitimate residency cards.</w:t>
      </w:r>
      <w:r>
        <w:rPr>
          <w:rStyle w:val="EndnoteReference"/>
          <w:bCs/>
          <w:szCs w:val="24"/>
        </w:rPr>
        <w:endnoteReference w:id="17"/>
      </w:r>
    </w:p>
    <w:p w14:paraId="5FD14178" w14:textId="77777777" w:rsidR="006A709F" w:rsidRPr="00583B06" w:rsidRDefault="006A709F" w:rsidP="008D0622">
      <w:pPr>
        <w:autoSpaceDE w:val="0"/>
        <w:autoSpaceDN w:val="0"/>
        <w:adjustRightInd w:val="0"/>
        <w:spacing w:after="0" w:line="360" w:lineRule="auto"/>
        <w:jc w:val="both"/>
        <w:rPr>
          <w:bCs/>
          <w:szCs w:val="24"/>
        </w:rPr>
      </w:pPr>
    </w:p>
    <w:p w14:paraId="79C9726E" w14:textId="77777777" w:rsidR="00F8233C" w:rsidRDefault="00F8233C" w:rsidP="00F8233C">
      <w:pPr>
        <w:pStyle w:val="NormalWeb"/>
        <w:spacing w:before="0" w:beforeAutospacing="0" w:after="0" w:afterAutospacing="0" w:line="360" w:lineRule="auto"/>
        <w:jc w:val="both"/>
        <w:rPr>
          <w:color w:val="0E101A"/>
        </w:rPr>
      </w:pPr>
      <w:r>
        <w:rPr>
          <w:color w:val="0E101A"/>
        </w:rPr>
        <w:t xml:space="preserve">Apart from the above discussion, it is apparent that issues like lack of access to an effective legal system, lack of access to good food and drink and several issues which could be several in numbers but here mainly through this article, </w:t>
      </w:r>
      <w:r w:rsidR="00C8248B">
        <w:rPr>
          <w:color w:val="0E101A"/>
        </w:rPr>
        <w:t>it is dealt</w:t>
      </w:r>
      <w:r>
        <w:rPr>
          <w:color w:val="0E101A"/>
        </w:rPr>
        <w:t xml:space="preserve"> further only</w:t>
      </w:r>
      <w:r w:rsidR="00C8248B">
        <w:rPr>
          <w:color w:val="0E101A"/>
        </w:rPr>
        <w:t xml:space="preserve"> with </w:t>
      </w:r>
      <w:r>
        <w:rPr>
          <w:color w:val="0E101A"/>
        </w:rPr>
        <w:t xml:space="preserve"> the prominent issues discussed above. In my analysis, I found the basic rights of migrant workers have been violated in many forms. For example, many migrant workers are forcefully exploited in different public and private sectors which fostered forced labour practices. To compare inhabitant and migrant worker salaries I found generally migrant workers are facing disparities the different employers. They got least salaries compared to national workers from Western countries. This finding shows that GCC countries failed to protect the guideline given by International Labour Organization. These countries often violate the ILO Conventions Nos. 97 and 143 which protect the interest of migrant workers. It is observed that individual countries have taken alternative measures, such as bilateral agreements, implementation of model contracts and establishment of institutions to defend the rights of migrant workers. This is proved to be partially successful. Furthermore, it is noted that the 1990 Convention on the Rights of Migrant Workers and their family members have not been ratified by any important countries such as the Gulf or South Asian counties. An early ratification of these Conventions by the Gulf Cooperation Council and the South Asian countries will set the tone to improve lot of migrant workers and their working and living conditions.</w:t>
      </w:r>
    </w:p>
    <w:p w14:paraId="4037DDFF" w14:textId="77777777" w:rsidR="00F8233C" w:rsidRDefault="00F8233C" w:rsidP="00F8233C">
      <w:pPr>
        <w:pStyle w:val="NormalWeb"/>
        <w:spacing w:before="0" w:beforeAutospacing="0" w:after="0" w:afterAutospacing="0" w:line="360" w:lineRule="auto"/>
        <w:jc w:val="both"/>
        <w:rPr>
          <w:color w:val="0E101A"/>
        </w:rPr>
      </w:pPr>
      <w:r>
        <w:rPr>
          <w:color w:val="0E101A"/>
        </w:rPr>
        <w:t xml:space="preserve">          </w:t>
      </w:r>
    </w:p>
    <w:p w14:paraId="3A4C592D" w14:textId="77777777" w:rsidR="00F8233C" w:rsidRDefault="00F8233C" w:rsidP="00F8233C">
      <w:pPr>
        <w:pStyle w:val="NormalWeb"/>
        <w:spacing w:before="0" w:beforeAutospacing="0" w:after="0" w:afterAutospacing="0" w:line="360" w:lineRule="auto"/>
        <w:jc w:val="both"/>
        <w:rPr>
          <w:color w:val="0E101A"/>
        </w:rPr>
      </w:pPr>
      <w:r>
        <w:rPr>
          <w:color w:val="0E101A"/>
        </w:rPr>
        <w:t xml:space="preserve">This is also important that labour-sending countries must recognize the role of trade unions by enhancing their institutional capacity and developing strategies to protect the rights of migrant workers. This can be made possible by intervening with the help of trade unions for holding a pre-departure training orientation programme. Some arrangements of return migrants also must be taken into account as their rehabilitation and reintegration into their home countries are a must for the development of the country in general and the welfare of </w:t>
      </w:r>
      <w:r>
        <w:rPr>
          <w:color w:val="0E101A"/>
        </w:rPr>
        <w:lastRenderedPageBreak/>
        <w:t>migrants in particular. Unions can also play the role of catalysts in formulating a protective policy. Moreover, this is also expected that these unions must pressurise their respective government for having bilateral agreements with labour in the GCC countries. There is no doubt that the monitoring role of trade unions can be crucial for controlling unscrupulous recruiting agencies. This kind of arrangement is successful in some labour-sending countries. Networking between trade unions in labour-sending and labour-receiving countries can be a key to sharing migration information and providing effective services for migrant workers. Trade unions can take up an educative role in matters relating to international labour standards for both migrants and union members. These will be the cornerstones of building a protective regime for the welfare of migrant workers and their family members.   </w:t>
      </w:r>
    </w:p>
    <w:p w14:paraId="1E05EF83" w14:textId="77777777" w:rsidR="00F8233C" w:rsidRDefault="00F8233C" w:rsidP="00F8233C">
      <w:pPr>
        <w:pStyle w:val="NormalWeb"/>
        <w:spacing w:before="0" w:beforeAutospacing="0" w:after="0" w:afterAutospacing="0" w:line="360" w:lineRule="auto"/>
        <w:jc w:val="both"/>
        <w:rPr>
          <w:color w:val="0E101A"/>
        </w:rPr>
      </w:pPr>
      <w:r>
        <w:rPr>
          <w:color w:val="0E101A"/>
        </w:rPr>
        <w:t>     </w:t>
      </w:r>
    </w:p>
    <w:p w14:paraId="64C23819" w14:textId="77777777" w:rsidR="00F8233C" w:rsidRDefault="00F8233C" w:rsidP="00F8233C">
      <w:pPr>
        <w:pStyle w:val="NormalWeb"/>
        <w:spacing w:before="0" w:beforeAutospacing="0" w:after="0" w:afterAutospacing="0" w:line="360" w:lineRule="auto"/>
        <w:jc w:val="both"/>
        <w:rPr>
          <w:color w:val="0E101A"/>
        </w:rPr>
      </w:pPr>
      <w:r>
        <w:rPr>
          <w:rStyle w:val="Strong"/>
          <w:color w:val="0E101A"/>
        </w:rPr>
        <w:t>Conclusions </w:t>
      </w:r>
    </w:p>
    <w:p w14:paraId="09EF0A2D" w14:textId="77777777" w:rsidR="00F8233C" w:rsidRDefault="00F8233C" w:rsidP="00F8233C">
      <w:pPr>
        <w:pStyle w:val="NormalWeb"/>
        <w:spacing w:before="0" w:beforeAutospacing="0" w:after="0" w:afterAutospacing="0" w:line="360" w:lineRule="auto"/>
        <w:jc w:val="both"/>
        <w:rPr>
          <w:color w:val="0E101A"/>
        </w:rPr>
      </w:pPr>
      <w:r>
        <w:rPr>
          <w:color w:val="0E101A"/>
        </w:rPr>
        <w:t>Finally, we conclude by saying that the overwhelming majority of migrants are presently from South Asia. India is a leading country in this migration arena. More than 30 per cent of the total migrant workers are from India. These migrant workers are indeed in fact big economic and strategic assets as they make a lot of contributions to both their home countries as well as the Gulf countries. But the big irony is that their rights are not sufficiently protected as they deserve. Furthermore, their interests are not adequately addressed by the available legal framework. They are not able to secure their rights and privileges in the Gulf countries. Now the time has come to consider the welfare of these migrant workers as the top priority for both the home and the host countries alike. This could be made possible when all origin and destination countries will be able to adopt the UN International Conventions dealing with migrant workers and their family members. </w:t>
      </w:r>
      <w:r w:rsidR="00650EE3">
        <w:rPr>
          <w:color w:val="0E101A"/>
        </w:rPr>
        <w:t>Moreover, it is also suggested to promote  migrants’ welfare by developing bilateral relations in terms of labour law between labour sending countries and the Gulf countries.</w:t>
      </w:r>
    </w:p>
    <w:p w14:paraId="326613D3" w14:textId="77777777" w:rsidR="00583B06" w:rsidRPr="00E2714A" w:rsidRDefault="00583B06" w:rsidP="00F8233C">
      <w:pPr>
        <w:spacing w:line="360" w:lineRule="auto"/>
        <w:jc w:val="both"/>
        <w:rPr>
          <w:szCs w:val="24"/>
        </w:rPr>
      </w:pPr>
    </w:p>
    <w:p w14:paraId="11135754" w14:textId="77777777" w:rsidR="00583B06" w:rsidRPr="00E2714A" w:rsidRDefault="00583B06" w:rsidP="00F8233C">
      <w:pPr>
        <w:spacing w:line="360" w:lineRule="auto"/>
        <w:jc w:val="both"/>
        <w:rPr>
          <w:b/>
          <w:bCs/>
          <w:szCs w:val="24"/>
        </w:rPr>
      </w:pPr>
    </w:p>
    <w:p w14:paraId="2E09E48B" w14:textId="77777777" w:rsidR="00583B06" w:rsidRPr="00E2714A" w:rsidRDefault="00583B06" w:rsidP="00583B06">
      <w:pPr>
        <w:rPr>
          <w:szCs w:val="24"/>
        </w:rPr>
      </w:pPr>
      <w:r w:rsidRPr="00E2714A">
        <w:rPr>
          <w:b/>
          <w:bCs/>
          <w:szCs w:val="24"/>
        </w:rPr>
        <w:tab/>
      </w:r>
    </w:p>
    <w:p w14:paraId="4C9176B9" w14:textId="77777777" w:rsidR="00583B06" w:rsidRPr="00E2714A" w:rsidRDefault="00583B06" w:rsidP="00D52524">
      <w:pPr>
        <w:pStyle w:val="Subtitle"/>
      </w:pPr>
    </w:p>
    <w:p w14:paraId="038462F7" w14:textId="77777777" w:rsidR="00583B06" w:rsidRPr="00583B06" w:rsidRDefault="00583B06" w:rsidP="007925EF">
      <w:pPr>
        <w:autoSpaceDE w:val="0"/>
        <w:autoSpaceDN w:val="0"/>
        <w:adjustRightInd w:val="0"/>
        <w:spacing w:after="0" w:line="360" w:lineRule="auto"/>
        <w:jc w:val="both"/>
        <w:rPr>
          <w:b/>
          <w:bCs/>
          <w:szCs w:val="24"/>
        </w:rPr>
      </w:pPr>
    </w:p>
    <w:sectPr w:rsidR="00583B06" w:rsidRPr="00583B06" w:rsidSect="00A61E9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74772" w14:textId="77777777" w:rsidR="00DC4827" w:rsidRDefault="00DC4827" w:rsidP="00495B4C">
      <w:pPr>
        <w:spacing w:after="480" w:line="240" w:lineRule="auto"/>
      </w:pPr>
      <w:r>
        <w:separator/>
      </w:r>
    </w:p>
  </w:endnote>
  <w:endnote w:type="continuationSeparator" w:id="0">
    <w:p w14:paraId="77F9FE0D" w14:textId="77777777" w:rsidR="00DC4827" w:rsidRDefault="00DC4827" w:rsidP="00495B4C">
      <w:pPr>
        <w:spacing w:after="480" w:line="240" w:lineRule="auto"/>
      </w:pPr>
      <w:r>
        <w:continuationSeparator/>
      </w:r>
    </w:p>
  </w:endnote>
  <w:endnote w:id="1">
    <w:p w14:paraId="6EAEAF9A" w14:textId="77777777" w:rsidR="00E15EA4" w:rsidRPr="00147378" w:rsidRDefault="00E15EA4" w:rsidP="00E91D82">
      <w:pPr>
        <w:pStyle w:val="NoSpacing"/>
        <w:spacing w:line="360" w:lineRule="auto"/>
        <w:rPr>
          <w:b/>
          <w:bCs/>
          <w:szCs w:val="24"/>
        </w:rPr>
      </w:pPr>
      <w:r w:rsidRPr="00147378">
        <w:rPr>
          <w:b/>
          <w:bCs/>
          <w:szCs w:val="24"/>
        </w:rPr>
        <w:t>Endnote</w:t>
      </w:r>
    </w:p>
    <w:p w14:paraId="3E939670" w14:textId="77777777" w:rsidR="00E15EA4" w:rsidRPr="00E15EA4" w:rsidRDefault="00E15EA4" w:rsidP="00E91D82">
      <w:pPr>
        <w:pStyle w:val="NoSpacing"/>
        <w:spacing w:line="360" w:lineRule="auto"/>
        <w:rPr>
          <w:color w:val="000000" w:themeColor="text1"/>
          <w:szCs w:val="24"/>
        </w:rPr>
      </w:pPr>
      <w:r w:rsidRPr="00E15EA4">
        <w:rPr>
          <w:rStyle w:val="EndnoteReference"/>
          <w:szCs w:val="24"/>
        </w:rPr>
        <w:endnoteRef/>
      </w:r>
      <w:hyperlink r:id="rId1" w:history="1">
        <w:r w:rsidRPr="00E15EA4">
          <w:rPr>
            <w:rStyle w:val="Hyperlink"/>
            <w:color w:val="000000" w:themeColor="text1"/>
            <w:szCs w:val="24"/>
            <w:u w:val="none"/>
          </w:rPr>
          <w:t>Michal Rutkowski</w:t>
        </w:r>
      </w:hyperlink>
      <w:r w:rsidRPr="00E15EA4">
        <w:rPr>
          <w:color w:val="000000" w:themeColor="text1"/>
          <w:szCs w:val="24"/>
          <w:shd w:val="clear" w:color="auto" w:fill="FFFFFF"/>
        </w:rPr>
        <w:t xml:space="preserve">and </w:t>
      </w:r>
      <w:hyperlink r:id="rId2" w:history="1">
        <w:r w:rsidRPr="00E15EA4">
          <w:rPr>
            <w:rStyle w:val="Hyperlink"/>
            <w:color w:val="000000" w:themeColor="text1"/>
            <w:szCs w:val="24"/>
            <w:u w:val="none"/>
          </w:rPr>
          <w:t>Johannes Koettl</w:t>
        </w:r>
      </w:hyperlink>
      <w:r w:rsidRPr="00E15EA4">
        <w:rPr>
          <w:color w:val="000000" w:themeColor="text1"/>
          <w:szCs w:val="24"/>
          <w:shd w:val="clear" w:color="auto" w:fill="FFFFFF"/>
        </w:rPr>
        <w:t>,</w:t>
      </w:r>
      <w:r w:rsidRPr="00E15EA4">
        <w:rPr>
          <w:color w:val="000000" w:themeColor="text1"/>
          <w:szCs w:val="24"/>
        </w:rPr>
        <w:t xml:space="preserve"> “Saudi Arabia announces major reforms for its migrant workers,” </w:t>
      </w:r>
      <w:r w:rsidRPr="00E15EA4">
        <w:rPr>
          <w:i/>
          <w:iCs/>
          <w:color w:val="000000" w:themeColor="text1"/>
          <w:szCs w:val="24"/>
        </w:rPr>
        <w:t>World Bank Blogs</w:t>
      </w:r>
      <w:r w:rsidRPr="00E15EA4">
        <w:rPr>
          <w:color w:val="000000" w:themeColor="text1"/>
          <w:szCs w:val="24"/>
        </w:rPr>
        <w:t xml:space="preserve">, </w:t>
      </w:r>
      <w:r w:rsidRPr="00E15EA4">
        <w:rPr>
          <w:rStyle w:val="field-content"/>
          <w:color w:val="000000" w:themeColor="text1"/>
          <w:szCs w:val="24"/>
          <w:shd w:val="clear" w:color="auto" w:fill="FFFFFF"/>
        </w:rPr>
        <w:t xml:space="preserve">December </w:t>
      </w:r>
      <w:r w:rsidRPr="00E15EA4">
        <w:rPr>
          <w:rStyle w:val="field-content"/>
          <w:caps/>
          <w:color w:val="000000" w:themeColor="text1"/>
          <w:szCs w:val="24"/>
          <w:shd w:val="clear" w:color="auto" w:fill="FFFFFF"/>
        </w:rPr>
        <w:t xml:space="preserve">18, 2020. </w:t>
      </w:r>
      <w:r w:rsidRPr="00E15EA4">
        <w:rPr>
          <w:color w:val="000000" w:themeColor="text1"/>
          <w:szCs w:val="24"/>
        </w:rPr>
        <w:t>https://blogs.worldbank.org/peoplemove/saudi-arabia-announces-major-reforms-its-migrant-workers (Accessed 25 April 2022).</w:t>
      </w:r>
    </w:p>
  </w:endnote>
  <w:endnote w:id="2">
    <w:p w14:paraId="3EFF2B51" w14:textId="77777777" w:rsidR="00E15EA4" w:rsidRPr="00E15EA4" w:rsidRDefault="00E15EA4" w:rsidP="00E91D82">
      <w:pPr>
        <w:pStyle w:val="NoSpacing"/>
        <w:spacing w:line="360" w:lineRule="auto"/>
        <w:rPr>
          <w:szCs w:val="24"/>
        </w:rPr>
      </w:pPr>
      <w:r w:rsidRPr="00E15EA4">
        <w:rPr>
          <w:rStyle w:val="EndnoteReference"/>
          <w:szCs w:val="24"/>
        </w:rPr>
        <w:endnoteRef/>
      </w:r>
      <w:r w:rsidRPr="00E15EA4">
        <w:rPr>
          <w:szCs w:val="24"/>
        </w:rPr>
        <w:t xml:space="preserve"> “Social protection for migrant workers,” International Labour Organization.</w:t>
      </w:r>
    </w:p>
    <w:p w14:paraId="5E2D9A17" w14:textId="77777777" w:rsidR="00E15EA4" w:rsidRPr="00E15EA4" w:rsidRDefault="00E15EA4" w:rsidP="00E91D82">
      <w:pPr>
        <w:pStyle w:val="NoSpacing"/>
        <w:spacing w:line="360" w:lineRule="auto"/>
        <w:rPr>
          <w:color w:val="000000" w:themeColor="text1"/>
          <w:szCs w:val="24"/>
        </w:rPr>
      </w:pPr>
      <w:r w:rsidRPr="00E15EA4">
        <w:rPr>
          <w:bCs/>
          <w:szCs w:val="24"/>
        </w:rPr>
        <w:t>https://www.ilo.org/global/topics/labour-migration/policy-areas/social-protection/lang--en/index.htm</w:t>
      </w:r>
      <w:r w:rsidRPr="00E15EA4">
        <w:rPr>
          <w:color w:val="000000" w:themeColor="text1"/>
          <w:szCs w:val="24"/>
        </w:rPr>
        <w:t>(Accessed 25 April 2022).</w:t>
      </w:r>
    </w:p>
  </w:endnote>
  <w:endnote w:id="3">
    <w:p w14:paraId="167D5221" w14:textId="77777777" w:rsidR="00E15EA4" w:rsidRPr="00E15EA4" w:rsidRDefault="00E15EA4" w:rsidP="00E91D82">
      <w:pPr>
        <w:pStyle w:val="EndnoteText"/>
        <w:spacing w:line="360" w:lineRule="auto"/>
        <w:rPr>
          <w:sz w:val="24"/>
          <w:szCs w:val="24"/>
        </w:rPr>
      </w:pPr>
      <w:r w:rsidRPr="00E15EA4">
        <w:rPr>
          <w:rStyle w:val="EndnoteReference"/>
          <w:sz w:val="24"/>
          <w:szCs w:val="24"/>
        </w:rPr>
        <w:endnoteRef/>
      </w:r>
      <w:r w:rsidRPr="00E15EA4">
        <w:rPr>
          <w:sz w:val="24"/>
          <w:szCs w:val="24"/>
        </w:rPr>
        <w:t xml:space="preserve">Anisur Rahman, “Indian Diaspora in The Gulf: Issues of Human Rights,” in </w:t>
      </w:r>
      <w:r w:rsidRPr="00E15EA4">
        <w:rPr>
          <w:i/>
          <w:iCs/>
          <w:sz w:val="24"/>
          <w:szCs w:val="24"/>
        </w:rPr>
        <w:t>Absences, Silences and The Margin: A Mosaic of Voices on the Indian Diaspora</w:t>
      </w:r>
      <w:r w:rsidRPr="00E15EA4">
        <w:rPr>
          <w:sz w:val="24"/>
          <w:szCs w:val="24"/>
        </w:rPr>
        <w:t>, eds. S.Samuel Asir Raj, Surajit C. Mukhopadhyay and M Nandraj ( Chennai: Yadhumahi Publication, 2018): 248.</w:t>
      </w:r>
    </w:p>
  </w:endnote>
  <w:endnote w:id="4">
    <w:p w14:paraId="60C4736F" w14:textId="77777777" w:rsidR="00E15EA4" w:rsidRPr="00E15EA4" w:rsidRDefault="00E15EA4" w:rsidP="00E91D82">
      <w:pPr>
        <w:pStyle w:val="EndnoteText"/>
        <w:spacing w:line="360" w:lineRule="auto"/>
        <w:rPr>
          <w:sz w:val="24"/>
          <w:szCs w:val="24"/>
        </w:rPr>
      </w:pPr>
      <w:r w:rsidRPr="00E15EA4">
        <w:rPr>
          <w:rStyle w:val="EndnoteReference"/>
          <w:sz w:val="24"/>
          <w:szCs w:val="24"/>
        </w:rPr>
        <w:endnoteRef/>
      </w:r>
      <w:r w:rsidRPr="00E15EA4">
        <w:rPr>
          <w:sz w:val="24"/>
          <w:szCs w:val="24"/>
        </w:rPr>
        <w:t xml:space="preserve">S.IrudiyaRajan, </w:t>
      </w:r>
      <w:r w:rsidRPr="00E15EA4">
        <w:rPr>
          <w:i/>
          <w:sz w:val="24"/>
          <w:szCs w:val="24"/>
        </w:rPr>
        <w:t>India Migration Report 2016 Gulf Migration</w:t>
      </w:r>
      <w:r w:rsidRPr="00E15EA4">
        <w:rPr>
          <w:sz w:val="24"/>
          <w:szCs w:val="24"/>
        </w:rPr>
        <w:t xml:space="preserve"> (South Asia Edition, Rutledge 2016), p. 77.</w:t>
      </w:r>
    </w:p>
  </w:endnote>
  <w:endnote w:id="5">
    <w:p w14:paraId="6B8D530C" w14:textId="77777777" w:rsidR="00E15EA4" w:rsidRPr="00E15EA4" w:rsidRDefault="00E15EA4" w:rsidP="00E91D82">
      <w:pPr>
        <w:pStyle w:val="EndnoteText"/>
        <w:spacing w:line="360" w:lineRule="auto"/>
        <w:rPr>
          <w:sz w:val="24"/>
          <w:szCs w:val="24"/>
        </w:rPr>
      </w:pPr>
      <w:r w:rsidRPr="00E15EA4">
        <w:rPr>
          <w:rStyle w:val="EndnoteReference"/>
          <w:sz w:val="24"/>
          <w:szCs w:val="24"/>
        </w:rPr>
        <w:endnoteRef/>
      </w:r>
      <w:r w:rsidRPr="00E15EA4">
        <w:rPr>
          <w:sz w:val="24"/>
          <w:szCs w:val="24"/>
        </w:rPr>
        <w:t xml:space="preserve"> Ibid.,78.</w:t>
      </w:r>
    </w:p>
  </w:endnote>
  <w:endnote w:id="6">
    <w:p w14:paraId="27B7D884" w14:textId="77777777" w:rsidR="00E15EA4" w:rsidRPr="00E15EA4" w:rsidRDefault="00E15EA4" w:rsidP="00E91D82">
      <w:pPr>
        <w:pStyle w:val="EndnoteText"/>
        <w:spacing w:line="360" w:lineRule="auto"/>
        <w:rPr>
          <w:sz w:val="24"/>
          <w:szCs w:val="24"/>
        </w:rPr>
      </w:pPr>
      <w:r w:rsidRPr="00E15EA4">
        <w:rPr>
          <w:rStyle w:val="EndnoteReference"/>
          <w:sz w:val="24"/>
          <w:szCs w:val="24"/>
        </w:rPr>
        <w:endnoteRef/>
      </w:r>
      <w:r w:rsidRPr="00E15EA4">
        <w:rPr>
          <w:sz w:val="24"/>
          <w:szCs w:val="24"/>
        </w:rPr>
        <w:t xml:space="preserve">Rajan, </w:t>
      </w:r>
      <w:r w:rsidRPr="00E15EA4">
        <w:rPr>
          <w:i/>
          <w:sz w:val="24"/>
          <w:szCs w:val="24"/>
        </w:rPr>
        <w:t>India Migration Report 2016 Gulf Migration,</w:t>
      </w:r>
      <w:r w:rsidRPr="00E15EA4">
        <w:rPr>
          <w:sz w:val="24"/>
          <w:szCs w:val="24"/>
        </w:rPr>
        <w:t xml:space="preserve"> p. 78.</w:t>
      </w:r>
    </w:p>
  </w:endnote>
  <w:endnote w:id="7">
    <w:p w14:paraId="52F9FBD2" w14:textId="77777777" w:rsidR="00E15EA4" w:rsidRPr="00E15EA4" w:rsidRDefault="00E15EA4" w:rsidP="00E91D82">
      <w:pPr>
        <w:pStyle w:val="EndnoteText"/>
        <w:spacing w:line="360" w:lineRule="auto"/>
        <w:rPr>
          <w:sz w:val="24"/>
          <w:szCs w:val="24"/>
        </w:rPr>
      </w:pPr>
      <w:r w:rsidRPr="00E15EA4">
        <w:rPr>
          <w:rStyle w:val="EndnoteReference"/>
          <w:sz w:val="24"/>
          <w:szCs w:val="24"/>
        </w:rPr>
        <w:endnoteRef/>
      </w:r>
      <w:r w:rsidRPr="00E15EA4">
        <w:rPr>
          <w:sz w:val="24"/>
          <w:szCs w:val="24"/>
        </w:rPr>
        <w:t xml:space="preserve">Rajan, </w:t>
      </w:r>
      <w:r w:rsidRPr="00E15EA4">
        <w:rPr>
          <w:i/>
          <w:sz w:val="24"/>
          <w:szCs w:val="24"/>
        </w:rPr>
        <w:t>India Migration Report 2016 Gulf Migration,</w:t>
      </w:r>
      <w:r w:rsidRPr="00E15EA4">
        <w:rPr>
          <w:sz w:val="24"/>
          <w:szCs w:val="24"/>
        </w:rPr>
        <w:t xml:space="preserve">  p.80.</w:t>
      </w:r>
    </w:p>
  </w:endnote>
  <w:endnote w:id="8">
    <w:p w14:paraId="5B3E8626" w14:textId="77777777" w:rsidR="00E15EA4" w:rsidRPr="00E15EA4" w:rsidRDefault="00E15EA4" w:rsidP="00E91D82">
      <w:pPr>
        <w:pStyle w:val="NoSpacing"/>
        <w:spacing w:line="360" w:lineRule="auto"/>
        <w:jc w:val="both"/>
        <w:rPr>
          <w:color w:val="000000" w:themeColor="text1"/>
          <w:szCs w:val="24"/>
        </w:rPr>
      </w:pPr>
      <w:r w:rsidRPr="00E15EA4">
        <w:rPr>
          <w:rStyle w:val="EndnoteReference"/>
          <w:color w:val="000000" w:themeColor="text1"/>
          <w:szCs w:val="24"/>
        </w:rPr>
        <w:endnoteRef/>
      </w:r>
      <w:r w:rsidRPr="00E15EA4">
        <w:rPr>
          <w:color w:val="000000" w:themeColor="text1"/>
          <w:szCs w:val="24"/>
        </w:rPr>
        <w:t>“C029 - Forced Labour Convention, 1930 (No. 29)”</w:t>
      </w:r>
      <w:r w:rsidRPr="00E15EA4">
        <w:rPr>
          <w:i/>
          <w:iCs/>
          <w:szCs w:val="24"/>
        </w:rPr>
        <w:t>International Labour Organization</w:t>
      </w:r>
      <w:r w:rsidRPr="00E15EA4">
        <w:rPr>
          <w:szCs w:val="24"/>
        </w:rPr>
        <w:t>, http://www.ilo.org/dyn/normlex/en/f?p=NORMLEXPUB:12100:::NO:12100:P12100_ILO_CODE:C029:NO</w:t>
      </w:r>
    </w:p>
  </w:endnote>
  <w:endnote w:id="9">
    <w:p w14:paraId="08AD3800" w14:textId="77777777" w:rsidR="00E15EA4" w:rsidRPr="00E15EA4" w:rsidRDefault="00E15EA4" w:rsidP="00E91D82">
      <w:pPr>
        <w:pStyle w:val="EndnoteText"/>
        <w:spacing w:line="360" w:lineRule="auto"/>
        <w:rPr>
          <w:sz w:val="24"/>
          <w:szCs w:val="24"/>
        </w:rPr>
      </w:pPr>
      <w:r w:rsidRPr="00E15EA4">
        <w:rPr>
          <w:rStyle w:val="EndnoteReference"/>
          <w:sz w:val="24"/>
          <w:szCs w:val="24"/>
        </w:rPr>
        <w:endnoteRef/>
      </w:r>
      <w:r w:rsidRPr="00E15EA4">
        <w:rPr>
          <w:sz w:val="24"/>
          <w:szCs w:val="24"/>
        </w:rPr>
        <w:t xml:space="preserve"> Ibid.,</w:t>
      </w:r>
    </w:p>
  </w:endnote>
  <w:endnote w:id="10">
    <w:p w14:paraId="784A0375" w14:textId="77777777" w:rsidR="00E15EA4" w:rsidRPr="00E15EA4" w:rsidRDefault="00E15EA4" w:rsidP="00E91D82">
      <w:pPr>
        <w:pStyle w:val="EndnoteText"/>
        <w:spacing w:line="360" w:lineRule="auto"/>
        <w:rPr>
          <w:sz w:val="24"/>
          <w:szCs w:val="24"/>
        </w:rPr>
      </w:pPr>
      <w:r w:rsidRPr="00E15EA4">
        <w:rPr>
          <w:rStyle w:val="EndnoteReference"/>
          <w:sz w:val="24"/>
          <w:szCs w:val="24"/>
        </w:rPr>
        <w:endnoteRef/>
      </w:r>
      <w:r w:rsidRPr="00E15EA4">
        <w:rPr>
          <w:sz w:val="24"/>
          <w:szCs w:val="24"/>
        </w:rPr>
        <w:t xml:space="preserve"> Varia Nisha, As if I am not Human, Abuses against Asian domestic worker in Saudi Arabia (New York:</w:t>
      </w:r>
    </w:p>
    <w:p w14:paraId="4A7386D4" w14:textId="77777777" w:rsidR="00E15EA4" w:rsidRPr="00E15EA4" w:rsidRDefault="00E15EA4" w:rsidP="00E91D82">
      <w:pPr>
        <w:pStyle w:val="EndnoteText"/>
        <w:spacing w:line="360" w:lineRule="auto"/>
        <w:rPr>
          <w:sz w:val="24"/>
          <w:szCs w:val="24"/>
        </w:rPr>
      </w:pPr>
      <w:r w:rsidRPr="00E15EA4">
        <w:rPr>
          <w:sz w:val="24"/>
          <w:szCs w:val="24"/>
        </w:rPr>
        <w:t>Human Rights Watch, 2008): p. 35 to 36. https://www.hrw.org/sites/default/files/reports/saudiarabia0708_1.pdf</w:t>
      </w:r>
    </w:p>
    <w:p w14:paraId="4D085F70" w14:textId="77777777" w:rsidR="00E15EA4" w:rsidRPr="00E15EA4" w:rsidRDefault="00E15EA4" w:rsidP="00E91D82">
      <w:pPr>
        <w:pStyle w:val="EndnoteText"/>
        <w:spacing w:line="360" w:lineRule="auto"/>
        <w:rPr>
          <w:sz w:val="24"/>
          <w:szCs w:val="24"/>
        </w:rPr>
      </w:pPr>
      <w:r w:rsidRPr="00E15EA4">
        <w:rPr>
          <w:sz w:val="24"/>
          <w:szCs w:val="24"/>
        </w:rPr>
        <w:t>(Accessed May 2022).</w:t>
      </w:r>
    </w:p>
  </w:endnote>
  <w:endnote w:id="11">
    <w:p w14:paraId="55421F28" w14:textId="77777777" w:rsidR="00E15EA4" w:rsidRPr="00E15EA4" w:rsidRDefault="00E15EA4" w:rsidP="00E91D82">
      <w:pPr>
        <w:pStyle w:val="EndnoteText"/>
        <w:spacing w:line="360" w:lineRule="auto"/>
        <w:rPr>
          <w:sz w:val="24"/>
          <w:szCs w:val="24"/>
        </w:rPr>
      </w:pPr>
      <w:r w:rsidRPr="00E15EA4">
        <w:rPr>
          <w:rStyle w:val="EndnoteReference"/>
          <w:sz w:val="24"/>
          <w:szCs w:val="24"/>
        </w:rPr>
        <w:endnoteRef/>
      </w:r>
      <w:r w:rsidRPr="00E15EA4">
        <w:rPr>
          <w:sz w:val="24"/>
          <w:szCs w:val="24"/>
        </w:rPr>
        <w:t xml:space="preserve">Nisha, </w:t>
      </w:r>
      <w:r w:rsidRPr="00E15EA4">
        <w:rPr>
          <w:i/>
          <w:sz w:val="24"/>
          <w:szCs w:val="24"/>
        </w:rPr>
        <w:t>As if I am not Human, Abuses against Asian domestic worker in Saudi Arabia</w:t>
      </w:r>
      <w:r w:rsidRPr="00E15EA4">
        <w:rPr>
          <w:sz w:val="24"/>
          <w:szCs w:val="24"/>
        </w:rPr>
        <w:t>p 26.</w:t>
      </w:r>
    </w:p>
  </w:endnote>
  <w:endnote w:id="12">
    <w:p w14:paraId="64B228B5" w14:textId="77777777" w:rsidR="00E15EA4" w:rsidRPr="00E15EA4" w:rsidRDefault="00E15EA4" w:rsidP="00E91D82">
      <w:pPr>
        <w:pStyle w:val="EndnoteText"/>
        <w:spacing w:line="360" w:lineRule="auto"/>
        <w:rPr>
          <w:sz w:val="24"/>
          <w:szCs w:val="24"/>
        </w:rPr>
      </w:pPr>
      <w:r w:rsidRPr="00E15EA4">
        <w:rPr>
          <w:rStyle w:val="EndnoteReference"/>
          <w:sz w:val="24"/>
          <w:szCs w:val="24"/>
        </w:rPr>
        <w:endnoteRef/>
      </w:r>
      <w:r w:rsidRPr="00E15EA4">
        <w:rPr>
          <w:sz w:val="24"/>
          <w:szCs w:val="24"/>
        </w:rPr>
        <w:t xml:space="preserve"> Adelle Blackett, “The Decent Work for Domestic Workers Convention 2011 (No. 189) and Recommendation (No. 201),”</w:t>
      </w:r>
      <w:r w:rsidRPr="00E15EA4">
        <w:rPr>
          <w:i/>
          <w:sz w:val="24"/>
          <w:szCs w:val="24"/>
        </w:rPr>
        <w:t>American Society of International law,</w:t>
      </w:r>
      <w:r w:rsidRPr="00E15EA4">
        <w:rPr>
          <w:sz w:val="24"/>
          <w:szCs w:val="24"/>
        </w:rPr>
        <w:t xml:space="preserve"> no. 53, (2014). https://femlaw.queensu.ca/sites/webpublish.queensu.ca.flswww/files/files/ILMpublicationJSTORversion.pdf(Accessed May 2022).</w:t>
      </w:r>
    </w:p>
  </w:endnote>
  <w:endnote w:id="13">
    <w:p w14:paraId="21D0862A" w14:textId="77777777" w:rsidR="00E15EA4" w:rsidRPr="00E15EA4" w:rsidRDefault="00E15EA4" w:rsidP="00E91D82">
      <w:pPr>
        <w:pStyle w:val="EndnoteText"/>
        <w:spacing w:line="360" w:lineRule="auto"/>
        <w:rPr>
          <w:sz w:val="24"/>
          <w:szCs w:val="24"/>
        </w:rPr>
      </w:pPr>
      <w:r w:rsidRPr="00E15EA4">
        <w:rPr>
          <w:rStyle w:val="EndnoteReference"/>
          <w:sz w:val="24"/>
          <w:szCs w:val="24"/>
        </w:rPr>
        <w:endnoteRef/>
      </w:r>
      <w:r w:rsidRPr="00E15EA4">
        <w:rPr>
          <w:sz w:val="24"/>
          <w:szCs w:val="24"/>
        </w:rPr>
        <w:t>Adelle Blackett, “The Decent Work for Domestic Workers Convention 2011 (No. 189) and Recommendation (No. 201).</w:t>
      </w:r>
    </w:p>
  </w:endnote>
  <w:endnote w:id="14">
    <w:p w14:paraId="57B7CE00" w14:textId="77777777" w:rsidR="00E15EA4" w:rsidRPr="00E15EA4" w:rsidRDefault="00E15EA4" w:rsidP="00E91D82">
      <w:pPr>
        <w:pStyle w:val="EndnoteText"/>
        <w:spacing w:line="360" w:lineRule="auto"/>
        <w:rPr>
          <w:iCs/>
          <w:sz w:val="24"/>
          <w:szCs w:val="24"/>
        </w:rPr>
      </w:pPr>
      <w:r w:rsidRPr="00E15EA4">
        <w:rPr>
          <w:rStyle w:val="EndnoteReference"/>
          <w:sz w:val="24"/>
          <w:szCs w:val="24"/>
        </w:rPr>
        <w:endnoteRef/>
      </w:r>
      <w:r w:rsidRPr="00E15EA4">
        <w:rPr>
          <w:sz w:val="24"/>
          <w:szCs w:val="24"/>
        </w:rPr>
        <w:t xml:space="preserve"> International Labour Organization,</w:t>
      </w:r>
      <w:r w:rsidRPr="00E15EA4">
        <w:rPr>
          <w:i/>
          <w:iCs/>
          <w:sz w:val="24"/>
          <w:szCs w:val="24"/>
        </w:rPr>
        <w:t xml:space="preserve">Rights Based Approach to International Labour Migration, </w:t>
      </w:r>
      <w:r w:rsidRPr="00E15EA4">
        <w:rPr>
          <w:iCs/>
          <w:sz w:val="24"/>
          <w:szCs w:val="24"/>
        </w:rPr>
        <w:t>p, 74.</w:t>
      </w:r>
    </w:p>
    <w:p w14:paraId="4166C08C" w14:textId="77777777" w:rsidR="00E15EA4" w:rsidRPr="00E15EA4" w:rsidRDefault="00E15EA4" w:rsidP="00E91D82">
      <w:pPr>
        <w:pStyle w:val="EndnoteText"/>
        <w:spacing w:line="360" w:lineRule="auto"/>
        <w:rPr>
          <w:sz w:val="24"/>
          <w:szCs w:val="24"/>
        </w:rPr>
      </w:pPr>
      <w:r w:rsidRPr="00E15EA4">
        <w:rPr>
          <w:sz w:val="24"/>
          <w:szCs w:val="24"/>
        </w:rPr>
        <w:t>https://digitalcommons.ilr.cornell.edu/cgi/viewcontent.cgi?referer=https://www.google.co.in/&amp;httpsredir=1&amp;article=1086&amp;context=intl</w:t>
      </w:r>
    </w:p>
  </w:endnote>
  <w:endnote w:id="15">
    <w:p w14:paraId="1DF59FF1" w14:textId="77777777" w:rsidR="00E15EA4" w:rsidRPr="00E15EA4" w:rsidRDefault="00E15EA4" w:rsidP="00E91D82">
      <w:pPr>
        <w:pStyle w:val="NoSpacing"/>
        <w:spacing w:line="360" w:lineRule="auto"/>
        <w:rPr>
          <w:color w:val="000000" w:themeColor="text1"/>
          <w:szCs w:val="24"/>
        </w:rPr>
      </w:pPr>
      <w:r w:rsidRPr="00E15EA4">
        <w:rPr>
          <w:rStyle w:val="EndnoteReference"/>
          <w:szCs w:val="24"/>
        </w:rPr>
        <w:endnoteRef/>
      </w:r>
      <w:hyperlink r:id="rId3" w:history="1">
        <w:r w:rsidRPr="00E15EA4">
          <w:rPr>
            <w:rStyle w:val="Hyperlink"/>
            <w:color w:val="000000" w:themeColor="text1"/>
            <w:szCs w:val="24"/>
            <w:u w:val="none"/>
          </w:rPr>
          <w:t>Michal Rutkowski</w:t>
        </w:r>
      </w:hyperlink>
      <w:r w:rsidRPr="00E15EA4">
        <w:rPr>
          <w:color w:val="000000" w:themeColor="text1"/>
          <w:szCs w:val="24"/>
          <w:shd w:val="clear" w:color="auto" w:fill="FFFFFF"/>
        </w:rPr>
        <w:t xml:space="preserve">and </w:t>
      </w:r>
      <w:hyperlink r:id="rId4" w:history="1">
        <w:r w:rsidRPr="00E15EA4">
          <w:rPr>
            <w:rStyle w:val="Hyperlink"/>
            <w:color w:val="000000" w:themeColor="text1"/>
            <w:szCs w:val="24"/>
            <w:u w:val="none"/>
          </w:rPr>
          <w:t>Johannes Koettl</w:t>
        </w:r>
      </w:hyperlink>
      <w:r w:rsidRPr="00E15EA4">
        <w:rPr>
          <w:color w:val="000000" w:themeColor="text1"/>
          <w:szCs w:val="24"/>
          <w:shd w:val="clear" w:color="auto" w:fill="FFFFFF"/>
        </w:rPr>
        <w:t>,</w:t>
      </w:r>
      <w:r w:rsidRPr="00E15EA4">
        <w:rPr>
          <w:color w:val="000000" w:themeColor="text1"/>
          <w:szCs w:val="24"/>
        </w:rPr>
        <w:t xml:space="preserve"> “Saudi Arabia announces major reforms for its migrant workers,” World Bank Blogs, </w:t>
      </w:r>
      <w:r w:rsidRPr="00E15EA4">
        <w:rPr>
          <w:rStyle w:val="field-content"/>
          <w:color w:val="000000" w:themeColor="text1"/>
          <w:szCs w:val="24"/>
          <w:shd w:val="clear" w:color="auto" w:fill="FFFFFF"/>
        </w:rPr>
        <w:t xml:space="preserve">December </w:t>
      </w:r>
      <w:r w:rsidRPr="00E15EA4">
        <w:rPr>
          <w:rStyle w:val="field-content"/>
          <w:caps/>
          <w:color w:val="000000" w:themeColor="text1"/>
          <w:szCs w:val="24"/>
          <w:shd w:val="clear" w:color="auto" w:fill="FFFFFF"/>
        </w:rPr>
        <w:t xml:space="preserve">18, 2020. </w:t>
      </w:r>
      <w:r w:rsidRPr="00E15EA4">
        <w:rPr>
          <w:color w:val="000000" w:themeColor="text1"/>
          <w:szCs w:val="24"/>
        </w:rPr>
        <w:t>https://blogs.worldbank.org/peoplemove/saudi-arabia-announces-major-reforms-its-migrant-workers (Accessed 25 April 2022).</w:t>
      </w:r>
    </w:p>
  </w:endnote>
  <w:endnote w:id="16">
    <w:p w14:paraId="7305954C" w14:textId="77777777" w:rsidR="00E15EA4" w:rsidRPr="00E15EA4" w:rsidRDefault="00E15EA4" w:rsidP="00E91D82">
      <w:pPr>
        <w:pStyle w:val="EndnoteText"/>
        <w:spacing w:line="360" w:lineRule="auto"/>
        <w:jc w:val="both"/>
        <w:rPr>
          <w:sz w:val="24"/>
          <w:szCs w:val="24"/>
        </w:rPr>
      </w:pPr>
      <w:r w:rsidRPr="00E15EA4">
        <w:rPr>
          <w:rStyle w:val="EndnoteReference"/>
          <w:sz w:val="24"/>
          <w:szCs w:val="24"/>
        </w:rPr>
        <w:endnoteRef/>
      </w:r>
      <w:r w:rsidRPr="00E15EA4">
        <w:rPr>
          <w:sz w:val="24"/>
          <w:szCs w:val="24"/>
        </w:rPr>
        <w:t xml:space="preserve"> “Saudi Arabia: Migrants held in inhuman, Degrading Conditions,” December 15, 2020. https://www.hrw.org/news/2020/12/15/saudi-arabia-migrants-held-inhuman-degrading-conditions</w:t>
      </w:r>
      <w:r w:rsidRPr="00E15EA4">
        <w:rPr>
          <w:color w:val="000000" w:themeColor="text1"/>
          <w:sz w:val="24"/>
          <w:szCs w:val="24"/>
        </w:rPr>
        <w:t>(Accessed 25 April 2022).</w:t>
      </w:r>
    </w:p>
  </w:endnote>
  <w:endnote w:id="17">
    <w:p w14:paraId="383D8004" w14:textId="77777777" w:rsidR="00E15EA4" w:rsidRPr="00E15EA4" w:rsidRDefault="00E15EA4" w:rsidP="00E91D82">
      <w:pPr>
        <w:pStyle w:val="EndnoteText"/>
        <w:spacing w:line="360" w:lineRule="auto"/>
        <w:rPr>
          <w:sz w:val="24"/>
          <w:szCs w:val="24"/>
        </w:rPr>
      </w:pPr>
      <w:r w:rsidRPr="00E15EA4">
        <w:rPr>
          <w:rStyle w:val="EndnoteReference"/>
          <w:sz w:val="24"/>
          <w:szCs w:val="24"/>
        </w:rPr>
        <w:endnoteRef/>
      </w:r>
      <w:r w:rsidRPr="00E15EA4">
        <w:rPr>
          <w:sz w:val="24"/>
          <w:szCs w:val="24"/>
        </w:rPr>
        <w:t>Ibid.,</w:t>
      </w:r>
    </w:p>
    <w:p w14:paraId="2A64F996" w14:textId="77777777" w:rsidR="00E15EA4" w:rsidRDefault="00E15EA4" w:rsidP="00E15EA4">
      <w:pPr>
        <w:pStyle w:val="EndnoteText"/>
        <w:spacing w:line="480" w:lineRule="auto"/>
      </w:pPr>
    </w:p>
    <w:p w14:paraId="7EC7CB0D" w14:textId="77777777" w:rsidR="00E15EA4" w:rsidRPr="00445641" w:rsidRDefault="00E15EA4" w:rsidP="00E15EA4">
      <w:pPr>
        <w:autoSpaceDE w:val="0"/>
        <w:autoSpaceDN w:val="0"/>
        <w:adjustRightInd w:val="0"/>
        <w:spacing w:after="0" w:line="360" w:lineRule="auto"/>
        <w:rPr>
          <w:b/>
          <w:szCs w:val="24"/>
        </w:rPr>
      </w:pPr>
      <w:r w:rsidRPr="00445641">
        <w:rPr>
          <w:b/>
          <w:szCs w:val="24"/>
        </w:rPr>
        <w:t>Reference</w:t>
      </w:r>
    </w:p>
    <w:p w14:paraId="51C5B093" w14:textId="77777777" w:rsidR="00E15EA4" w:rsidRPr="00C95F77" w:rsidRDefault="00E15EA4" w:rsidP="00E15EA4">
      <w:pPr>
        <w:pStyle w:val="ListParagraph"/>
        <w:numPr>
          <w:ilvl w:val="0"/>
          <w:numId w:val="6"/>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Abir, Mordechai. </w:t>
      </w:r>
      <w:r w:rsidRPr="00C95F77">
        <w:rPr>
          <w:rFonts w:ascii="Times New Roman" w:hAnsi="Times New Roman" w:cs="Times New Roman"/>
          <w:bCs/>
          <w:sz w:val="24"/>
          <w:szCs w:val="24"/>
        </w:rPr>
        <w:t>Saudi Arabia in the oil era: regime and elit</w:t>
      </w:r>
      <w:r>
        <w:rPr>
          <w:rFonts w:ascii="Times New Roman" w:hAnsi="Times New Roman" w:cs="Times New Roman"/>
          <w:bCs/>
          <w:sz w:val="24"/>
          <w:szCs w:val="24"/>
        </w:rPr>
        <w:t xml:space="preserve">es; conflict and collaboration, </w:t>
      </w:r>
      <w:r w:rsidRPr="00C95F77">
        <w:rPr>
          <w:rFonts w:ascii="Times New Roman" w:hAnsi="Times New Roman" w:cs="Times New Roman"/>
          <w:bCs/>
          <w:sz w:val="24"/>
          <w:szCs w:val="24"/>
        </w:rPr>
        <w:t>1</w:t>
      </w:r>
      <w:r>
        <w:rPr>
          <w:rFonts w:ascii="Times New Roman" w:hAnsi="Times New Roman" w:cs="Times New Roman"/>
          <w:bCs/>
          <w:sz w:val="24"/>
          <w:szCs w:val="24"/>
        </w:rPr>
        <w:t>987</w:t>
      </w:r>
      <w:r w:rsidRPr="00C95F77">
        <w:rPr>
          <w:rFonts w:ascii="Times New Roman" w:hAnsi="Times New Roman" w:cs="Times New Roman"/>
          <w:bCs/>
          <w:sz w:val="24"/>
          <w:szCs w:val="24"/>
        </w:rPr>
        <w:t>.</w:t>
      </w:r>
    </w:p>
    <w:p w14:paraId="2813E52D" w14:textId="77777777" w:rsidR="00E15EA4" w:rsidRPr="00C95F77" w:rsidRDefault="00E15EA4" w:rsidP="00E15EA4">
      <w:pPr>
        <w:pStyle w:val="ListParagraph"/>
        <w:numPr>
          <w:ilvl w:val="0"/>
          <w:numId w:val="6"/>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Abir, Mordechai. </w:t>
      </w:r>
      <w:r w:rsidRPr="00C95F77">
        <w:rPr>
          <w:rFonts w:ascii="Times New Roman" w:hAnsi="Times New Roman" w:cs="Times New Roman"/>
          <w:bCs/>
          <w:sz w:val="24"/>
          <w:szCs w:val="24"/>
        </w:rPr>
        <w:t>Saudi Arabia: Government, Societ</w:t>
      </w:r>
      <w:r>
        <w:rPr>
          <w:rFonts w:ascii="Times New Roman" w:hAnsi="Times New Roman" w:cs="Times New Roman"/>
          <w:bCs/>
          <w:sz w:val="24"/>
          <w:szCs w:val="24"/>
        </w:rPr>
        <w:t>y, and the Persian Gulf Crisis, 1993.</w:t>
      </w:r>
    </w:p>
    <w:p w14:paraId="1E4BA6CC" w14:textId="77777777" w:rsidR="00E15EA4" w:rsidRPr="00C95F77" w:rsidRDefault="00E15EA4" w:rsidP="00E15EA4">
      <w:pPr>
        <w:pStyle w:val="ListParagraph"/>
        <w:numPr>
          <w:ilvl w:val="0"/>
          <w:numId w:val="6"/>
        </w:numPr>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Almutairi, Abdullah Moied S. </w:t>
      </w:r>
      <w:r w:rsidRPr="008776B9">
        <w:rPr>
          <w:rFonts w:ascii="Times New Roman" w:hAnsi="Times New Roman" w:cs="Times New Roman"/>
          <w:bCs/>
          <w:i/>
          <w:iCs/>
          <w:sz w:val="24"/>
          <w:szCs w:val="24"/>
        </w:rPr>
        <w:t>Protecting the rights of temporary foreign ‘low-skilled’workers in the Saudi construction industry: a case for legal reform</w:t>
      </w:r>
      <w:r>
        <w:rPr>
          <w:rFonts w:ascii="Times New Roman" w:hAnsi="Times New Roman" w:cs="Times New Roman"/>
          <w:bCs/>
          <w:sz w:val="24"/>
          <w:szCs w:val="24"/>
        </w:rPr>
        <w:t>.</w:t>
      </w:r>
      <w:r w:rsidRPr="00C95F77">
        <w:rPr>
          <w:rFonts w:ascii="Times New Roman" w:hAnsi="Times New Roman" w:cs="Times New Roman"/>
          <w:bCs/>
          <w:sz w:val="24"/>
          <w:szCs w:val="24"/>
        </w:rPr>
        <w:t xml:space="preserve"> PhD diss., Brunel University London, 2017.</w:t>
      </w:r>
    </w:p>
    <w:p w14:paraId="574AA378" w14:textId="77777777" w:rsidR="00E15EA4" w:rsidRPr="00C95F77" w:rsidRDefault="00E15EA4" w:rsidP="00E15EA4">
      <w:pPr>
        <w:pStyle w:val="ListParagraph"/>
        <w:numPr>
          <w:ilvl w:val="0"/>
          <w:numId w:val="6"/>
        </w:numPr>
        <w:autoSpaceDE w:val="0"/>
        <w:autoSpaceDN w:val="0"/>
        <w:adjustRightInd w:val="0"/>
        <w:spacing w:after="0" w:line="360" w:lineRule="auto"/>
        <w:jc w:val="both"/>
        <w:rPr>
          <w:rFonts w:ascii="Times New Roman" w:hAnsi="Times New Roman" w:cs="Times New Roman"/>
          <w:bCs/>
          <w:sz w:val="24"/>
          <w:szCs w:val="24"/>
        </w:rPr>
      </w:pPr>
      <w:r w:rsidRPr="00C95F77">
        <w:rPr>
          <w:rFonts w:ascii="Times New Roman" w:hAnsi="Times New Roman" w:cs="Times New Roman"/>
          <w:bCs/>
          <w:sz w:val="24"/>
          <w:szCs w:val="24"/>
        </w:rPr>
        <w:t xml:space="preserve">Baldwin-Edwards, Martin. </w:t>
      </w:r>
      <w:r w:rsidRPr="008776B9">
        <w:rPr>
          <w:rFonts w:ascii="Times New Roman" w:hAnsi="Times New Roman" w:cs="Times New Roman"/>
          <w:bCs/>
          <w:i/>
          <w:iCs/>
          <w:sz w:val="24"/>
          <w:szCs w:val="24"/>
        </w:rPr>
        <w:t>Migration in the Middle East and the Mediterranean. Geneva: Global Commission on International Migration</w:t>
      </w:r>
      <w:r w:rsidRPr="00C95F77">
        <w:rPr>
          <w:rFonts w:ascii="Times New Roman" w:hAnsi="Times New Roman" w:cs="Times New Roman"/>
          <w:bCs/>
          <w:sz w:val="24"/>
          <w:szCs w:val="24"/>
        </w:rPr>
        <w:t>, 2005.</w:t>
      </w:r>
    </w:p>
    <w:p w14:paraId="656E17BF" w14:textId="77777777" w:rsidR="00E15EA4" w:rsidRPr="00C95F77" w:rsidRDefault="00E15EA4" w:rsidP="00E15EA4">
      <w:pPr>
        <w:pStyle w:val="ListParagraph"/>
        <w:numPr>
          <w:ilvl w:val="0"/>
          <w:numId w:val="6"/>
        </w:numPr>
        <w:autoSpaceDE w:val="0"/>
        <w:autoSpaceDN w:val="0"/>
        <w:adjustRightInd w:val="0"/>
        <w:spacing w:after="0" w:line="360" w:lineRule="auto"/>
        <w:jc w:val="both"/>
        <w:rPr>
          <w:rFonts w:ascii="Times New Roman" w:hAnsi="Times New Roman" w:cs="Times New Roman"/>
          <w:bCs/>
          <w:sz w:val="24"/>
          <w:szCs w:val="24"/>
        </w:rPr>
      </w:pPr>
      <w:r w:rsidRPr="00C95F77">
        <w:rPr>
          <w:rFonts w:ascii="Times New Roman" w:hAnsi="Times New Roman" w:cs="Times New Roman"/>
          <w:bCs/>
          <w:sz w:val="24"/>
          <w:szCs w:val="24"/>
        </w:rPr>
        <w:t xml:space="preserve">Bowen, Wayne H. </w:t>
      </w:r>
      <w:r w:rsidRPr="00F72455">
        <w:rPr>
          <w:rFonts w:ascii="Times New Roman" w:hAnsi="Times New Roman" w:cs="Times New Roman"/>
          <w:bCs/>
          <w:i/>
          <w:iCs/>
          <w:sz w:val="24"/>
          <w:szCs w:val="24"/>
        </w:rPr>
        <w:t>The History of Saudi Arabia</w:t>
      </w:r>
      <w:r w:rsidRPr="00C95F77">
        <w:rPr>
          <w:rFonts w:ascii="Times New Roman" w:hAnsi="Times New Roman" w:cs="Times New Roman"/>
          <w:bCs/>
          <w:sz w:val="24"/>
          <w:szCs w:val="24"/>
        </w:rPr>
        <w:t>. ABC-CLIO, 2014</w:t>
      </w:r>
      <w:r>
        <w:rPr>
          <w:rFonts w:ascii="Times New Roman" w:hAnsi="Times New Roman" w:cs="Times New Roman"/>
          <w:bCs/>
          <w:sz w:val="24"/>
          <w:szCs w:val="24"/>
        </w:rPr>
        <w:t>.</w:t>
      </w:r>
    </w:p>
    <w:p w14:paraId="4B91DC78" w14:textId="77777777" w:rsidR="00E15EA4" w:rsidRPr="00C95F77" w:rsidRDefault="00E15EA4" w:rsidP="00E15EA4">
      <w:pPr>
        <w:pStyle w:val="ListParagraph"/>
        <w:numPr>
          <w:ilvl w:val="0"/>
          <w:numId w:val="6"/>
        </w:numPr>
        <w:autoSpaceDE w:val="0"/>
        <w:autoSpaceDN w:val="0"/>
        <w:adjustRightInd w:val="0"/>
        <w:spacing w:after="0" w:line="360" w:lineRule="auto"/>
        <w:jc w:val="both"/>
        <w:rPr>
          <w:rFonts w:ascii="Times New Roman" w:hAnsi="Times New Roman" w:cs="Times New Roman"/>
          <w:bCs/>
          <w:sz w:val="24"/>
          <w:szCs w:val="24"/>
        </w:rPr>
      </w:pPr>
      <w:r w:rsidRPr="00C95F77">
        <w:rPr>
          <w:rFonts w:ascii="Times New Roman" w:hAnsi="Times New Roman" w:cs="Times New Roman"/>
          <w:bCs/>
          <w:sz w:val="24"/>
          <w:szCs w:val="24"/>
        </w:rPr>
        <w:t xml:space="preserve">Castles, Stephen, Hein De Haas, and Mark J. Miller. </w:t>
      </w:r>
      <w:r w:rsidRPr="00F72455">
        <w:rPr>
          <w:rFonts w:ascii="Times New Roman" w:hAnsi="Times New Roman" w:cs="Times New Roman"/>
          <w:bCs/>
          <w:i/>
          <w:iCs/>
          <w:sz w:val="24"/>
          <w:szCs w:val="24"/>
        </w:rPr>
        <w:t>The age of migration: International population movements in the modern world</w:t>
      </w:r>
      <w:r w:rsidRPr="00C95F77">
        <w:rPr>
          <w:rFonts w:ascii="Times New Roman" w:hAnsi="Times New Roman" w:cs="Times New Roman"/>
          <w:bCs/>
          <w:sz w:val="24"/>
          <w:szCs w:val="24"/>
        </w:rPr>
        <w:t>. Palgrave Macmillan, 2013.</w:t>
      </w:r>
    </w:p>
    <w:p w14:paraId="35C3B884" w14:textId="77777777" w:rsidR="00E15EA4" w:rsidRPr="00C95F77" w:rsidRDefault="00E15EA4" w:rsidP="00E15EA4">
      <w:pPr>
        <w:pStyle w:val="ListParagraph"/>
        <w:numPr>
          <w:ilvl w:val="0"/>
          <w:numId w:val="6"/>
        </w:numPr>
        <w:autoSpaceDE w:val="0"/>
        <w:autoSpaceDN w:val="0"/>
        <w:adjustRightInd w:val="0"/>
        <w:spacing w:after="0" w:line="360" w:lineRule="auto"/>
        <w:jc w:val="both"/>
        <w:rPr>
          <w:rFonts w:ascii="Times New Roman" w:hAnsi="Times New Roman" w:cs="Times New Roman"/>
          <w:bCs/>
          <w:sz w:val="24"/>
          <w:szCs w:val="24"/>
        </w:rPr>
      </w:pPr>
      <w:r w:rsidRPr="00C95F77">
        <w:rPr>
          <w:rFonts w:ascii="Times New Roman" w:hAnsi="Times New Roman" w:cs="Times New Roman"/>
          <w:bCs/>
          <w:sz w:val="24"/>
          <w:szCs w:val="24"/>
        </w:rPr>
        <w:t>George Varughese,November 2013</w:t>
      </w:r>
      <w:r>
        <w:rPr>
          <w:rFonts w:ascii="Times New Roman" w:hAnsi="Times New Roman" w:cs="Times New Roman"/>
          <w:bCs/>
          <w:sz w:val="24"/>
          <w:szCs w:val="24"/>
        </w:rPr>
        <w:t xml:space="preserve">, </w:t>
      </w:r>
      <w:r w:rsidRPr="00C95F77">
        <w:rPr>
          <w:rFonts w:ascii="Times New Roman" w:hAnsi="Times New Roman" w:cs="Times New Roman"/>
          <w:bCs/>
          <w:sz w:val="24"/>
          <w:szCs w:val="24"/>
        </w:rPr>
        <w:t>Labour Migration Trends and Patterns: Bangladesh, India, and Nepal.</w:t>
      </w:r>
    </w:p>
    <w:p w14:paraId="308A8063" w14:textId="77777777" w:rsidR="00E15EA4" w:rsidRPr="00C95F77" w:rsidRDefault="00E15EA4" w:rsidP="00E15EA4">
      <w:pPr>
        <w:pStyle w:val="ListParagraph"/>
        <w:numPr>
          <w:ilvl w:val="0"/>
          <w:numId w:val="6"/>
        </w:numPr>
        <w:autoSpaceDE w:val="0"/>
        <w:autoSpaceDN w:val="0"/>
        <w:adjustRightInd w:val="0"/>
        <w:spacing w:after="0" w:line="360" w:lineRule="auto"/>
        <w:jc w:val="both"/>
        <w:rPr>
          <w:rFonts w:ascii="Times New Roman" w:hAnsi="Times New Roman" w:cs="Times New Roman"/>
          <w:bCs/>
          <w:sz w:val="24"/>
          <w:szCs w:val="24"/>
        </w:rPr>
      </w:pPr>
      <w:r w:rsidRPr="00C95F77">
        <w:rPr>
          <w:rFonts w:ascii="Times New Roman" w:hAnsi="Times New Roman" w:cs="Times New Roman"/>
          <w:bCs/>
          <w:sz w:val="24"/>
          <w:szCs w:val="24"/>
        </w:rPr>
        <w:t>Girgis, Mauric</w:t>
      </w:r>
      <w:r>
        <w:rPr>
          <w:rFonts w:ascii="Times New Roman" w:hAnsi="Times New Roman" w:cs="Times New Roman"/>
          <w:bCs/>
          <w:sz w:val="24"/>
          <w:szCs w:val="24"/>
        </w:rPr>
        <w:t xml:space="preserve">e. </w:t>
      </w:r>
      <w:r w:rsidRPr="00C95F77">
        <w:rPr>
          <w:rFonts w:ascii="Times New Roman" w:hAnsi="Times New Roman" w:cs="Times New Roman"/>
          <w:bCs/>
          <w:sz w:val="24"/>
          <w:szCs w:val="24"/>
        </w:rPr>
        <w:t xml:space="preserve">National versus migrant workers </w:t>
      </w:r>
      <w:r>
        <w:rPr>
          <w:rFonts w:ascii="Times New Roman" w:hAnsi="Times New Roman" w:cs="Times New Roman"/>
          <w:bCs/>
          <w:sz w:val="24"/>
          <w:szCs w:val="24"/>
        </w:rPr>
        <w:t>in the GCC: coping with change.</w:t>
      </w:r>
      <w:r w:rsidRPr="00C95F77">
        <w:rPr>
          <w:rFonts w:ascii="Times New Roman" w:hAnsi="Times New Roman" w:cs="Times New Roman"/>
          <w:bCs/>
          <w:sz w:val="24"/>
          <w:szCs w:val="24"/>
        </w:rPr>
        <w:t xml:space="preserve"> Employment Creation and Social Protection in the Mi</w:t>
      </w:r>
      <w:r>
        <w:rPr>
          <w:rFonts w:ascii="Times New Roman" w:hAnsi="Times New Roman" w:cs="Times New Roman"/>
          <w:bCs/>
          <w:sz w:val="24"/>
          <w:szCs w:val="24"/>
        </w:rPr>
        <w:t>ddle East and North Mrica, 2002</w:t>
      </w:r>
      <w:r w:rsidRPr="00C95F77">
        <w:rPr>
          <w:rFonts w:ascii="Times New Roman" w:hAnsi="Times New Roman" w:cs="Times New Roman"/>
          <w:bCs/>
          <w:sz w:val="24"/>
          <w:szCs w:val="24"/>
        </w:rPr>
        <w:t>.</w:t>
      </w:r>
    </w:p>
    <w:p w14:paraId="4C6C2709" w14:textId="77777777" w:rsidR="00E15EA4" w:rsidRPr="00C95F77" w:rsidRDefault="00E15EA4" w:rsidP="00E15EA4">
      <w:pPr>
        <w:pStyle w:val="ListParagraph"/>
        <w:numPr>
          <w:ilvl w:val="0"/>
          <w:numId w:val="6"/>
        </w:numPr>
        <w:autoSpaceDE w:val="0"/>
        <w:autoSpaceDN w:val="0"/>
        <w:adjustRightInd w:val="0"/>
        <w:spacing w:after="0" w:line="360" w:lineRule="auto"/>
        <w:jc w:val="both"/>
        <w:rPr>
          <w:rFonts w:ascii="Times New Roman" w:hAnsi="Times New Roman" w:cs="Times New Roman"/>
          <w:bCs/>
          <w:sz w:val="24"/>
          <w:szCs w:val="24"/>
        </w:rPr>
      </w:pPr>
      <w:r w:rsidRPr="00C95F77">
        <w:rPr>
          <w:rFonts w:ascii="Times New Roman" w:hAnsi="Times New Roman" w:cs="Times New Roman"/>
          <w:bCs/>
          <w:sz w:val="24"/>
          <w:szCs w:val="24"/>
        </w:rPr>
        <w:t>Haas Michael.</w:t>
      </w:r>
      <w:r w:rsidRPr="00D84024">
        <w:rPr>
          <w:rFonts w:ascii="Times New Roman" w:hAnsi="Times New Roman" w:cs="Times New Roman"/>
          <w:bCs/>
          <w:i/>
          <w:iCs/>
          <w:sz w:val="24"/>
          <w:szCs w:val="24"/>
        </w:rPr>
        <w:t>International Human rights A Comprehensive Introduction</w:t>
      </w:r>
      <w:r w:rsidRPr="00C95F77">
        <w:rPr>
          <w:rFonts w:ascii="Times New Roman" w:hAnsi="Times New Roman" w:cs="Times New Roman"/>
          <w:bCs/>
          <w:sz w:val="24"/>
          <w:szCs w:val="24"/>
        </w:rPr>
        <w:t>,</w:t>
      </w:r>
      <w:r>
        <w:rPr>
          <w:rFonts w:ascii="Times New Roman" w:hAnsi="Times New Roman" w:cs="Times New Roman"/>
          <w:bCs/>
          <w:sz w:val="24"/>
          <w:szCs w:val="24"/>
        </w:rPr>
        <w:t xml:space="preserve"> New York: Rutledge Publication, 2008.</w:t>
      </w:r>
    </w:p>
    <w:p w14:paraId="6C2272A3" w14:textId="77777777" w:rsidR="00E15EA4" w:rsidRPr="00C95F77" w:rsidRDefault="00E15EA4" w:rsidP="00E15EA4">
      <w:pPr>
        <w:pStyle w:val="ListParagraph"/>
        <w:numPr>
          <w:ilvl w:val="0"/>
          <w:numId w:val="6"/>
        </w:numPr>
        <w:autoSpaceDE w:val="0"/>
        <w:autoSpaceDN w:val="0"/>
        <w:adjustRightInd w:val="0"/>
        <w:spacing w:after="0" w:line="360" w:lineRule="auto"/>
        <w:jc w:val="both"/>
        <w:rPr>
          <w:rFonts w:ascii="Times New Roman" w:hAnsi="Times New Roman" w:cs="Times New Roman"/>
          <w:bCs/>
          <w:sz w:val="24"/>
          <w:szCs w:val="24"/>
        </w:rPr>
      </w:pPr>
      <w:r w:rsidRPr="00C95F77">
        <w:rPr>
          <w:rFonts w:ascii="Times New Roman" w:hAnsi="Times New Roman" w:cs="Times New Roman"/>
          <w:bCs/>
          <w:sz w:val="24"/>
          <w:szCs w:val="24"/>
        </w:rPr>
        <w:t>https://blogs.worldbank.org/peoplemove/saudi-arabia-announces-major-reforms-its-migrant-workers</w:t>
      </w:r>
    </w:p>
    <w:p w14:paraId="0094C66A" w14:textId="77777777" w:rsidR="00E15EA4" w:rsidRPr="00E91D82" w:rsidRDefault="00E15EA4" w:rsidP="00E91D82">
      <w:pPr>
        <w:pStyle w:val="ListParagraph"/>
        <w:numPr>
          <w:ilvl w:val="0"/>
          <w:numId w:val="6"/>
        </w:numPr>
        <w:autoSpaceDE w:val="0"/>
        <w:autoSpaceDN w:val="0"/>
        <w:adjustRightInd w:val="0"/>
        <w:spacing w:after="0" w:line="360" w:lineRule="auto"/>
        <w:jc w:val="both"/>
        <w:rPr>
          <w:rFonts w:ascii="Times New Roman" w:hAnsi="Times New Roman" w:cs="Times New Roman"/>
          <w:bCs/>
          <w:sz w:val="24"/>
          <w:szCs w:val="24"/>
        </w:rPr>
      </w:pPr>
      <w:r w:rsidRPr="00C95F77">
        <w:rPr>
          <w:rFonts w:ascii="Times New Roman" w:hAnsi="Times New Roman" w:cs="Times New Roman"/>
          <w:bCs/>
          <w:sz w:val="24"/>
          <w:szCs w:val="24"/>
        </w:rPr>
        <w:t>https://www.ilo.org/global/topics/labour-migration/policy-areas/social-protection/lang--en/index.htm</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E1002EFF" w:usb1="C000605B" w:usb2="00000029" w:usb3="00000000" w:csb0="000101FF" w:csb1="00000000"/>
  </w:font>
  <w:font w:name="Neo Sans Pro Light">
    <w:altName w:val="Calibri"/>
    <w:panose1 w:val="020B0604020202020204"/>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BD67DC" w14:textId="77777777" w:rsidR="00DC4827" w:rsidRDefault="00DC4827" w:rsidP="00495B4C">
      <w:pPr>
        <w:spacing w:after="480" w:line="240" w:lineRule="auto"/>
      </w:pPr>
      <w:r>
        <w:separator/>
      </w:r>
    </w:p>
  </w:footnote>
  <w:footnote w:type="continuationSeparator" w:id="0">
    <w:p w14:paraId="35EC3E25" w14:textId="77777777" w:rsidR="00DC4827" w:rsidRDefault="00DC4827" w:rsidP="00495B4C">
      <w:pPr>
        <w:spacing w:after="48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E5D1F"/>
    <w:multiLevelType w:val="hybridMultilevel"/>
    <w:tmpl w:val="5636EC2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1B55F8C"/>
    <w:multiLevelType w:val="multilevel"/>
    <w:tmpl w:val="40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4A125210"/>
    <w:multiLevelType w:val="hybridMultilevel"/>
    <w:tmpl w:val="6B3EC1A0"/>
    <w:lvl w:ilvl="0" w:tplc="B3BE05EC">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4C28579A"/>
    <w:multiLevelType w:val="multilevel"/>
    <w:tmpl w:val="E91EE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5E65D4"/>
    <w:multiLevelType w:val="hybridMultilevel"/>
    <w:tmpl w:val="660E80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5AA94B80"/>
    <w:multiLevelType w:val="hybridMultilevel"/>
    <w:tmpl w:val="4A5ADA30"/>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D763EE9"/>
    <w:multiLevelType w:val="hybridMultilevel"/>
    <w:tmpl w:val="E5904530"/>
    <w:lvl w:ilvl="0" w:tplc="40090013">
      <w:start w:val="1"/>
      <w:numFmt w:val="upperRoman"/>
      <w:lvlText w:val="%1."/>
      <w:lvlJc w:val="righ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6AE80FCC"/>
    <w:multiLevelType w:val="hybridMultilevel"/>
    <w:tmpl w:val="F3C672F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16cid:durableId="391272573">
    <w:abstractNumId w:val="1"/>
  </w:num>
  <w:num w:numId="2" w16cid:durableId="777942716">
    <w:abstractNumId w:val="5"/>
  </w:num>
  <w:num w:numId="3" w16cid:durableId="1268807721">
    <w:abstractNumId w:val="6"/>
  </w:num>
  <w:num w:numId="4" w16cid:durableId="1735422001">
    <w:abstractNumId w:val="4"/>
  </w:num>
  <w:num w:numId="5" w16cid:durableId="1886942325">
    <w:abstractNumId w:val="3"/>
  </w:num>
  <w:num w:numId="6" w16cid:durableId="455292288">
    <w:abstractNumId w:val="0"/>
  </w:num>
  <w:num w:numId="7" w16cid:durableId="37171313">
    <w:abstractNumId w:val="7"/>
  </w:num>
  <w:num w:numId="8" w16cid:durableId="4206122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0061E"/>
    <w:rsid w:val="00000123"/>
    <w:rsid w:val="00001AFC"/>
    <w:rsid w:val="00001CBF"/>
    <w:rsid w:val="00003974"/>
    <w:rsid w:val="00003E7A"/>
    <w:rsid w:val="0000468E"/>
    <w:rsid w:val="00010602"/>
    <w:rsid w:val="000116A9"/>
    <w:rsid w:val="0002128E"/>
    <w:rsid w:val="00022689"/>
    <w:rsid w:val="00022B0F"/>
    <w:rsid w:val="00023CFE"/>
    <w:rsid w:val="00023D69"/>
    <w:rsid w:val="000240F5"/>
    <w:rsid w:val="000250D3"/>
    <w:rsid w:val="00025AFE"/>
    <w:rsid w:val="00025DB7"/>
    <w:rsid w:val="00026723"/>
    <w:rsid w:val="000268B6"/>
    <w:rsid w:val="00027510"/>
    <w:rsid w:val="00027972"/>
    <w:rsid w:val="000301DC"/>
    <w:rsid w:val="000316B7"/>
    <w:rsid w:val="0003507D"/>
    <w:rsid w:val="00037D88"/>
    <w:rsid w:val="0004361F"/>
    <w:rsid w:val="00047348"/>
    <w:rsid w:val="00052FFA"/>
    <w:rsid w:val="00066379"/>
    <w:rsid w:val="00066749"/>
    <w:rsid w:val="00067BD5"/>
    <w:rsid w:val="000702E6"/>
    <w:rsid w:val="00071799"/>
    <w:rsid w:val="00075761"/>
    <w:rsid w:val="000803B7"/>
    <w:rsid w:val="00080D8E"/>
    <w:rsid w:val="00081CB5"/>
    <w:rsid w:val="00081CF6"/>
    <w:rsid w:val="00082A59"/>
    <w:rsid w:val="00082D34"/>
    <w:rsid w:val="00085100"/>
    <w:rsid w:val="00086614"/>
    <w:rsid w:val="000878C2"/>
    <w:rsid w:val="0009069E"/>
    <w:rsid w:val="00094238"/>
    <w:rsid w:val="00095327"/>
    <w:rsid w:val="00095DE2"/>
    <w:rsid w:val="00097552"/>
    <w:rsid w:val="000A2040"/>
    <w:rsid w:val="000A3467"/>
    <w:rsid w:val="000A5F3B"/>
    <w:rsid w:val="000A6762"/>
    <w:rsid w:val="000B0792"/>
    <w:rsid w:val="000B1F9E"/>
    <w:rsid w:val="000B43D6"/>
    <w:rsid w:val="000B57DB"/>
    <w:rsid w:val="000B6AA5"/>
    <w:rsid w:val="000B6D7B"/>
    <w:rsid w:val="000C0EFD"/>
    <w:rsid w:val="000C3296"/>
    <w:rsid w:val="000C3324"/>
    <w:rsid w:val="000C4116"/>
    <w:rsid w:val="000C4BDC"/>
    <w:rsid w:val="000D295B"/>
    <w:rsid w:val="000D36AC"/>
    <w:rsid w:val="000D3720"/>
    <w:rsid w:val="000D3B17"/>
    <w:rsid w:val="000D6604"/>
    <w:rsid w:val="000D68EF"/>
    <w:rsid w:val="000D6CBC"/>
    <w:rsid w:val="000E0B63"/>
    <w:rsid w:val="000E30F1"/>
    <w:rsid w:val="000E6205"/>
    <w:rsid w:val="000F18BE"/>
    <w:rsid w:val="000F50BB"/>
    <w:rsid w:val="000F5124"/>
    <w:rsid w:val="000F55DB"/>
    <w:rsid w:val="001011BF"/>
    <w:rsid w:val="00102F88"/>
    <w:rsid w:val="0010388A"/>
    <w:rsid w:val="00104A50"/>
    <w:rsid w:val="001058A6"/>
    <w:rsid w:val="00105C29"/>
    <w:rsid w:val="00107477"/>
    <w:rsid w:val="001074E8"/>
    <w:rsid w:val="00110277"/>
    <w:rsid w:val="0011179E"/>
    <w:rsid w:val="0011239A"/>
    <w:rsid w:val="00112B09"/>
    <w:rsid w:val="001136B7"/>
    <w:rsid w:val="00115CFB"/>
    <w:rsid w:val="00117F1A"/>
    <w:rsid w:val="001203D8"/>
    <w:rsid w:val="001218FB"/>
    <w:rsid w:val="00131A9B"/>
    <w:rsid w:val="00131B4F"/>
    <w:rsid w:val="001322B5"/>
    <w:rsid w:val="001334E7"/>
    <w:rsid w:val="00133C73"/>
    <w:rsid w:val="00134261"/>
    <w:rsid w:val="00135EC0"/>
    <w:rsid w:val="00136E26"/>
    <w:rsid w:val="00144BC7"/>
    <w:rsid w:val="00145E62"/>
    <w:rsid w:val="00147378"/>
    <w:rsid w:val="00150362"/>
    <w:rsid w:val="00151824"/>
    <w:rsid w:val="00152CC5"/>
    <w:rsid w:val="00154BB8"/>
    <w:rsid w:val="0015780C"/>
    <w:rsid w:val="00162BA0"/>
    <w:rsid w:val="001637DC"/>
    <w:rsid w:val="001638C7"/>
    <w:rsid w:val="0016462B"/>
    <w:rsid w:val="0016602B"/>
    <w:rsid w:val="0016724F"/>
    <w:rsid w:val="00170CD8"/>
    <w:rsid w:val="00173447"/>
    <w:rsid w:val="00175268"/>
    <w:rsid w:val="0017532B"/>
    <w:rsid w:val="001775FE"/>
    <w:rsid w:val="00182E44"/>
    <w:rsid w:val="00184D20"/>
    <w:rsid w:val="00186148"/>
    <w:rsid w:val="001914B7"/>
    <w:rsid w:val="00191D18"/>
    <w:rsid w:val="00192BBD"/>
    <w:rsid w:val="00193EF8"/>
    <w:rsid w:val="00194DFC"/>
    <w:rsid w:val="00195D73"/>
    <w:rsid w:val="00196308"/>
    <w:rsid w:val="00196A02"/>
    <w:rsid w:val="001A07E9"/>
    <w:rsid w:val="001A1803"/>
    <w:rsid w:val="001A1F63"/>
    <w:rsid w:val="001A2833"/>
    <w:rsid w:val="001A3848"/>
    <w:rsid w:val="001A4F33"/>
    <w:rsid w:val="001A5A3B"/>
    <w:rsid w:val="001A5C02"/>
    <w:rsid w:val="001A7D8D"/>
    <w:rsid w:val="001B0855"/>
    <w:rsid w:val="001B16D6"/>
    <w:rsid w:val="001B7045"/>
    <w:rsid w:val="001C1691"/>
    <w:rsid w:val="001C2140"/>
    <w:rsid w:val="001C38BD"/>
    <w:rsid w:val="001C6701"/>
    <w:rsid w:val="001C7277"/>
    <w:rsid w:val="001C7A49"/>
    <w:rsid w:val="001D1295"/>
    <w:rsid w:val="001D2E03"/>
    <w:rsid w:val="001D5266"/>
    <w:rsid w:val="001D5C73"/>
    <w:rsid w:val="001D78D0"/>
    <w:rsid w:val="001E1F58"/>
    <w:rsid w:val="001E3689"/>
    <w:rsid w:val="001E3A9D"/>
    <w:rsid w:val="001E3ADD"/>
    <w:rsid w:val="001E5038"/>
    <w:rsid w:val="001E53A9"/>
    <w:rsid w:val="001E62C5"/>
    <w:rsid w:val="001E6BBD"/>
    <w:rsid w:val="001E729C"/>
    <w:rsid w:val="001F0CE9"/>
    <w:rsid w:val="001F24DD"/>
    <w:rsid w:val="001F2E0A"/>
    <w:rsid w:val="001F49C3"/>
    <w:rsid w:val="001F6F5B"/>
    <w:rsid w:val="001F76B5"/>
    <w:rsid w:val="001F76F6"/>
    <w:rsid w:val="002012EB"/>
    <w:rsid w:val="00202929"/>
    <w:rsid w:val="00203653"/>
    <w:rsid w:val="00204573"/>
    <w:rsid w:val="0020556F"/>
    <w:rsid w:val="002058D5"/>
    <w:rsid w:val="002120B1"/>
    <w:rsid w:val="0021319C"/>
    <w:rsid w:val="00214B70"/>
    <w:rsid w:val="0021500C"/>
    <w:rsid w:val="0021576D"/>
    <w:rsid w:val="002159CD"/>
    <w:rsid w:val="00220FCD"/>
    <w:rsid w:val="00221CD0"/>
    <w:rsid w:val="002226CB"/>
    <w:rsid w:val="0022711D"/>
    <w:rsid w:val="00227963"/>
    <w:rsid w:val="00227D98"/>
    <w:rsid w:val="002302BC"/>
    <w:rsid w:val="002317DF"/>
    <w:rsid w:val="002326DC"/>
    <w:rsid w:val="00232AD2"/>
    <w:rsid w:val="00234088"/>
    <w:rsid w:val="00236902"/>
    <w:rsid w:val="0024221D"/>
    <w:rsid w:val="00243551"/>
    <w:rsid w:val="00243DEE"/>
    <w:rsid w:val="002440C2"/>
    <w:rsid w:val="00244CD4"/>
    <w:rsid w:val="0024535A"/>
    <w:rsid w:val="002456D3"/>
    <w:rsid w:val="00247CD6"/>
    <w:rsid w:val="00250C4E"/>
    <w:rsid w:val="002513FD"/>
    <w:rsid w:val="00255DBB"/>
    <w:rsid w:val="0025601B"/>
    <w:rsid w:val="00256545"/>
    <w:rsid w:val="00256B49"/>
    <w:rsid w:val="00263CE0"/>
    <w:rsid w:val="00265983"/>
    <w:rsid w:val="00267C3C"/>
    <w:rsid w:val="00272021"/>
    <w:rsid w:val="002746EB"/>
    <w:rsid w:val="00276488"/>
    <w:rsid w:val="00276F90"/>
    <w:rsid w:val="00281335"/>
    <w:rsid w:val="0028270D"/>
    <w:rsid w:val="0028448B"/>
    <w:rsid w:val="00284C47"/>
    <w:rsid w:val="00286A44"/>
    <w:rsid w:val="00293272"/>
    <w:rsid w:val="00295A89"/>
    <w:rsid w:val="00296135"/>
    <w:rsid w:val="002964FB"/>
    <w:rsid w:val="00296944"/>
    <w:rsid w:val="00297C07"/>
    <w:rsid w:val="002A018B"/>
    <w:rsid w:val="002A4163"/>
    <w:rsid w:val="002A4548"/>
    <w:rsid w:val="002A56F3"/>
    <w:rsid w:val="002A5A13"/>
    <w:rsid w:val="002B2E56"/>
    <w:rsid w:val="002B3781"/>
    <w:rsid w:val="002B4F79"/>
    <w:rsid w:val="002B5C83"/>
    <w:rsid w:val="002B650E"/>
    <w:rsid w:val="002C160C"/>
    <w:rsid w:val="002C29E2"/>
    <w:rsid w:val="002C4CEB"/>
    <w:rsid w:val="002C5497"/>
    <w:rsid w:val="002C6CC8"/>
    <w:rsid w:val="002C7311"/>
    <w:rsid w:val="002D2A63"/>
    <w:rsid w:val="002D3944"/>
    <w:rsid w:val="002D50D0"/>
    <w:rsid w:val="002D6530"/>
    <w:rsid w:val="002D664B"/>
    <w:rsid w:val="002E011D"/>
    <w:rsid w:val="002E1636"/>
    <w:rsid w:val="002E55D0"/>
    <w:rsid w:val="002E6888"/>
    <w:rsid w:val="002E6CCB"/>
    <w:rsid w:val="002F23D4"/>
    <w:rsid w:val="002F490B"/>
    <w:rsid w:val="002F495D"/>
    <w:rsid w:val="002F6C84"/>
    <w:rsid w:val="002F6CC0"/>
    <w:rsid w:val="002F7758"/>
    <w:rsid w:val="0030063C"/>
    <w:rsid w:val="00301076"/>
    <w:rsid w:val="003016DA"/>
    <w:rsid w:val="00302931"/>
    <w:rsid w:val="00303D4A"/>
    <w:rsid w:val="00303ED8"/>
    <w:rsid w:val="00306E10"/>
    <w:rsid w:val="00307F90"/>
    <w:rsid w:val="00310654"/>
    <w:rsid w:val="00310AC3"/>
    <w:rsid w:val="0031141F"/>
    <w:rsid w:val="00311A89"/>
    <w:rsid w:val="00313027"/>
    <w:rsid w:val="00316B34"/>
    <w:rsid w:val="00320C9C"/>
    <w:rsid w:val="003223BA"/>
    <w:rsid w:val="003270E8"/>
    <w:rsid w:val="00331E92"/>
    <w:rsid w:val="0033224E"/>
    <w:rsid w:val="00336517"/>
    <w:rsid w:val="003402E4"/>
    <w:rsid w:val="003416F5"/>
    <w:rsid w:val="00344122"/>
    <w:rsid w:val="00352E82"/>
    <w:rsid w:val="003539E1"/>
    <w:rsid w:val="00355FFD"/>
    <w:rsid w:val="00356764"/>
    <w:rsid w:val="0035719A"/>
    <w:rsid w:val="00357D54"/>
    <w:rsid w:val="00360900"/>
    <w:rsid w:val="003615A6"/>
    <w:rsid w:val="003633FA"/>
    <w:rsid w:val="0036686C"/>
    <w:rsid w:val="00367B25"/>
    <w:rsid w:val="00375462"/>
    <w:rsid w:val="003775D8"/>
    <w:rsid w:val="0038127A"/>
    <w:rsid w:val="00381AF6"/>
    <w:rsid w:val="00382549"/>
    <w:rsid w:val="003840B6"/>
    <w:rsid w:val="003915A1"/>
    <w:rsid w:val="00392077"/>
    <w:rsid w:val="00392FB4"/>
    <w:rsid w:val="00394400"/>
    <w:rsid w:val="00394644"/>
    <w:rsid w:val="00395E97"/>
    <w:rsid w:val="003A3197"/>
    <w:rsid w:val="003A3786"/>
    <w:rsid w:val="003A3ADB"/>
    <w:rsid w:val="003A3F49"/>
    <w:rsid w:val="003A45D2"/>
    <w:rsid w:val="003A48CA"/>
    <w:rsid w:val="003A4D18"/>
    <w:rsid w:val="003A742A"/>
    <w:rsid w:val="003B0B12"/>
    <w:rsid w:val="003B164E"/>
    <w:rsid w:val="003B3CFE"/>
    <w:rsid w:val="003B6027"/>
    <w:rsid w:val="003C2BCD"/>
    <w:rsid w:val="003C3C82"/>
    <w:rsid w:val="003C4333"/>
    <w:rsid w:val="003C4FE3"/>
    <w:rsid w:val="003D3EB0"/>
    <w:rsid w:val="003D3F67"/>
    <w:rsid w:val="003D52AB"/>
    <w:rsid w:val="003D5AE0"/>
    <w:rsid w:val="003D7B01"/>
    <w:rsid w:val="003E725A"/>
    <w:rsid w:val="003F1C84"/>
    <w:rsid w:val="003F24E4"/>
    <w:rsid w:val="003F2EA9"/>
    <w:rsid w:val="003F550E"/>
    <w:rsid w:val="003F726D"/>
    <w:rsid w:val="003F72F0"/>
    <w:rsid w:val="004019C1"/>
    <w:rsid w:val="00402F61"/>
    <w:rsid w:val="00407ACB"/>
    <w:rsid w:val="00407D3E"/>
    <w:rsid w:val="00410BA9"/>
    <w:rsid w:val="0041332F"/>
    <w:rsid w:val="00413D53"/>
    <w:rsid w:val="00415102"/>
    <w:rsid w:val="00416699"/>
    <w:rsid w:val="0042159D"/>
    <w:rsid w:val="004217A3"/>
    <w:rsid w:val="004218CE"/>
    <w:rsid w:val="004219CA"/>
    <w:rsid w:val="0042771F"/>
    <w:rsid w:val="00432A24"/>
    <w:rsid w:val="004331F8"/>
    <w:rsid w:val="00433438"/>
    <w:rsid w:val="004375BA"/>
    <w:rsid w:val="004379E9"/>
    <w:rsid w:val="004400F6"/>
    <w:rsid w:val="00440DA1"/>
    <w:rsid w:val="00445641"/>
    <w:rsid w:val="00445C02"/>
    <w:rsid w:val="00446C2D"/>
    <w:rsid w:val="00447A6A"/>
    <w:rsid w:val="00450A5D"/>
    <w:rsid w:val="00451910"/>
    <w:rsid w:val="00455D79"/>
    <w:rsid w:val="0045656B"/>
    <w:rsid w:val="004605E6"/>
    <w:rsid w:val="00461BC9"/>
    <w:rsid w:val="00462119"/>
    <w:rsid w:val="00462596"/>
    <w:rsid w:val="00462A6B"/>
    <w:rsid w:val="00465043"/>
    <w:rsid w:val="004658EE"/>
    <w:rsid w:val="00466DDC"/>
    <w:rsid w:val="004711FC"/>
    <w:rsid w:val="0047379C"/>
    <w:rsid w:val="00481474"/>
    <w:rsid w:val="00481C6B"/>
    <w:rsid w:val="00483348"/>
    <w:rsid w:val="004835F5"/>
    <w:rsid w:val="00484273"/>
    <w:rsid w:val="00485F49"/>
    <w:rsid w:val="00486642"/>
    <w:rsid w:val="004870CA"/>
    <w:rsid w:val="00491115"/>
    <w:rsid w:val="004932D2"/>
    <w:rsid w:val="00495B4C"/>
    <w:rsid w:val="0049614E"/>
    <w:rsid w:val="004975DC"/>
    <w:rsid w:val="004A09D1"/>
    <w:rsid w:val="004A196D"/>
    <w:rsid w:val="004A1CAE"/>
    <w:rsid w:val="004A23F7"/>
    <w:rsid w:val="004A6556"/>
    <w:rsid w:val="004B0AFB"/>
    <w:rsid w:val="004B0CE4"/>
    <w:rsid w:val="004B18E6"/>
    <w:rsid w:val="004B354C"/>
    <w:rsid w:val="004B364E"/>
    <w:rsid w:val="004B5D32"/>
    <w:rsid w:val="004B61F4"/>
    <w:rsid w:val="004B6212"/>
    <w:rsid w:val="004C2747"/>
    <w:rsid w:val="004C5633"/>
    <w:rsid w:val="004C7592"/>
    <w:rsid w:val="004D08BC"/>
    <w:rsid w:val="004D1862"/>
    <w:rsid w:val="004D1AF2"/>
    <w:rsid w:val="004D5136"/>
    <w:rsid w:val="004D601E"/>
    <w:rsid w:val="004D60BA"/>
    <w:rsid w:val="004E1FC3"/>
    <w:rsid w:val="004E2ABB"/>
    <w:rsid w:val="004E30B9"/>
    <w:rsid w:val="004E471C"/>
    <w:rsid w:val="004E526E"/>
    <w:rsid w:val="004E5783"/>
    <w:rsid w:val="004E641C"/>
    <w:rsid w:val="004E67EE"/>
    <w:rsid w:val="004E6C0D"/>
    <w:rsid w:val="004F09E8"/>
    <w:rsid w:val="004F122F"/>
    <w:rsid w:val="004F3DB4"/>
    <w:rsid w:val="004F41D6"/>
    <w:rsid w:val="004F68BF"/>
    <w:rsid w:val="004F7A68"/>
    <w:rsid w:val="0050177B"/>
    <w:rsid w:val="00501F88"/>
    <w:rsid w:val="00506238"/>
    <w:rsid w:val="00506F0C"/>
    <w:rsid w:val="005118D5"/>
    <w:rsid w:val="0051361F"/>
    <w:rsid w:val="00515965"/>
    <w:rsid w:val="005159DC"/>
    <w:rsid w:val="005210FF"/>
    <w:rsid w:val="00521776"/>
    <w:rsid w:val="00521C58"/>
    <w:rsid w:val="005221AF"/>
    <w:rsid w:val="00522A83"/>
    <w:rsid w:val="00523FC4"/>
    <w:rsid w:val="0053105B"/>
    <w:rsid w:val="00532F3A"/>
    <w:rsid w:val="005344AB"/>
    <w:rsid w:val="0053737D"/>
    <w:rsid w:val="00537F6F"/>
    <w:rsid w:val="0054032C"/>
    <w:rsid w:val="005407F9"/>
    <w:rsid w:val="00540EE5"/>
    <w:rsid w:val="00542C5C"/>
    <w:rsid w:val="00544642"/>
    <w:rsid w:val="00545A94"/>
    <w:rsid w:val="005513B2"/>
    <w:rsid w:val="00564EAB"/>
    <w:rsid w:val="00567838"/>
    <w:rsid w:val="0057339E"/>
    <w:rsid w:val="00573FC3"/>
    <w:rsid w:val="00575619"/>
    <w:rsid w:val="005764F5"/>
    <w:rsid w:val="00583258"/>
    <w:rsid w:val="005833D2"/>
    <w:rsid w:val="005838E4"/>
    <w:rsid w:val="00583B06"/>
    <w:rsid w:val="00584729"/>
    <w:rsid w:val="0059000F"/>
    <w:rsid w:val="005909EC"/>
    <w:rsid w:val="00593B1C"/>
    <w:rsid w:val="00595F57"/>
    <w:rsid w:val="005A087F"/>
    <w:rsid w:val="005A1777"/>
    <w:rsid w:val="005A50B7"/>
    <w:rsid w:val="005A54C9"/>
    <w:rsid w:val="005A76E5"/>
    <w:rsid w:val="005A778C"/>
    <w:rsid w:val="005B23AE"/>
    <w:rsid w:val="005B406A"/>
    <w:rsid w:val="005B6FAB"/>
    <w:rsid w:val="005C11C5"/>
    <w:rsid w:val="005D2666"/>
    <w:rsid w:val="005D60FB"/>
    <w:rsid w:val="005D6EB6"/>
    <w:rsid w:val="005F223B"/>
    <w:rsid w:val="005F2963"/>
    <w:rsid w:val="005F588D"/>
    <w:rsid w:val="005F5F56"/>
    <w:rsid w:val="005F664D"/>
    <w:rsid w:val="00600DF6"/>
    <w:rsid w:val="00601B50"/>
    <w:rsid w:val="00604C9C"/>
    <w:rsid w:val="00604CCA"/>
    <w:rsid w:val="0060563C"/>
    <w:rsid w:val="0060570C"/>
    <w:rsid w:val="00605CB5"/>
    <w:rsid w:val="00605FD2"/>
    <w:rsid w:val="00610319"/>
    <w:rsid w:val="006111D4"/>
    <w:rsid w:val="006113CC"/>
    <w:rsid w:val="0061340E"/>
    <w:rsid w:val="0061343F"/>
    <w:rsid w:val="0061597C"/>
    <w:rsid w:val="0061759C"/>
    <w:rsid w:val="0062200E"/>
    <w:rsid w:val="0062345B"/>
    <w:rsid w:val="006263A7"/>
    <w:rsid w:val="00632AEC"/>
    <w:rsid w:val="006338A5"/>
    <w:rsid w:val="0063504B"/>
    <w:rsid w:val="006430EA"/>
    <w:rsid w:val="00643191"/>
    <w:rsid w:val="0064524E"/>
    <w:rsid w:val="006464F8"/>
    <w:rsid w:val="006508D8"/>
    <w:rsid w:val="00650EE3"/>
    <w:rsid w:val="00651385"/>
    <w:rsid w:val="00651FB6"/>
    <w:rsid w:val="00654D00"/>
    <w:rsid w:val="0065691B"/>
    <w:rsid w:val="00657D7F"/>
    <w:rsid w:val="00663486"/>
    <w:rsid w:val="00664DE7"/>
    <w:rsid w:val="006657FC"/>
    <w:rsid w:val="006663E1"/>
    <w:rsid w:val="00666D3D"/>
    <w:rsid w:val="00667460"/>
    <w:rsid w:val="006679B2"/>
    <w:rsid w:val="00670AC6"/>
    <w:rsid w:val="00672236"/>
    <w:rsid w:val="006723F0"/>
    <w:rsid w:val="00675FE4"/>
    <w:rsid w:val="00676BD5"/>
    <w:rsid w:val="00681048"/>
    <w:rsid w:val="00685CFA"/>
    <w:rsid w:val="006864A2"/>
    <w:rsid w:val="006901F0"/>
    <w:rsid w:val="00690C2C"/>
    <w:rsid w:val="00690DE9"/>
    <w:rsid w:val="00691033"/>
    <w:rsid w:val="006922A7"/>
    <w:rsid w:val="00694EEA"/>
    <w:rsid w:val="00697B92"/>
    <w:rsid w:val="006A05E2"/>
    <w:rsid w:val="006A1DC4"/>
    <w:rsid w:val="006A2CAC"/>
    <w:rsid w:val="006A41C6"/>
    <w:rsid w:val="006A5210"/>
    <w:rsid w:val="006A709F"/>
    <w:rsid w:val="006B2D65"/>
    <w:rsid w:val="006B7078"/>
    <w:rsid w:val="006C0825"/>
    <w:rsid w:val="006C2464"/>
    <w:rsid w:val="006C568D"/>
    <w:rsid w:val="006C5ADD"/>
    <w:rsid w:val="006C7776"/>
    <w:rsid w:val="006D069C"/>
    <w:rsid w:val="006D0C65"/>
    <w:rsid w:val="006D0CF6"/>
    <w:rsid w:val="006D3075"/>
    <w:rsid w:val="006D6596"/>
    <w:rsid w:val="006D745D"/>
    <w:rsid w:val="006E0BD0"/>
    <w:rsid w:val="006E0D94"/>
    <w:rsid w:val="006E13D7"/>
    <w:rsid w:val="006E4684"/>
    <w:rsid w:val="006F0103"/>
    <w:rsid w:val="006F1898"/>
    <w:rsid w:val="006F2693"/>
    <w:rsid w:val="006F65C1"/>
    <w:rsid w:val="006F740A"/>
    <w:rsid w:val="006F775A"/>
    <w:rsid w:val="006F7C1D"/>
    <w:rsid w:val="0070063A"/>
    <w:rsid w:val="00700662"/>
    <w:rsid w:val="00700C20"/>
    <w:rsid w:val="00701ACE"/>
    <w:rsid w:val="00703246"/>
    <w:rsid w:val="00704440"/>
    <w:rsid w:val="0070597F"/>
    <w:rsid w:val="00707058"/>
    <w:rsid w:val="00712914"/>
    <w:rsid w:val="007176F1"/>
    <w:rsid w:val="007203A5"/>
    <w:rsid w:val="007210E7"/>
    <w:rsid w:val="00723815"/>
    <w:rsid w:val="00724C94"/>
    <w:rsid w:val="0072650F"/>
    <w:rsid w:val="0073639A"/>
    <w:rsid w:val="00742AB0"/>
    <w:rsid w:val="007433F7"/>
    <w:rsid w:val="00750C4C"/>
    <w:rsid w:val="00754780"/>
    <w:rsid w:val="0075505A"/>
    <w:rsid w:val="00755567"/>
    <w:rsid w:val="00757C6D"/>
    <w:rsid w:val="007613D1"/>
    <w:rsid w:val="00762B09"/>
    <w:rsid w:val="00771351"/>
    <w:rsid w:val="00772C6A"/>
    <w:rsid w:val="0077639A"/>
    <w:rsid w:val="007770D5"/>
    <w:rsid w:val="00784150"/>
    <w:rsid w:val="00784D41"/>
    <w:rsid w:val="0078565A"/>
    <w:rsid w:val="00785C3E"/>
    <w:rsid w:val="0079024E"/>
    <w:rsid w:val="00790A13"/>
    <w:rsid w:val="007925EF"/>
    <w:rsid w:val="007953A7"/>
    <w:rsid w:val="007A4211"/>
    <w:rsid w:val="007A43CA"/>
    <w:rsid w:val="007A568D"/>
    <w:rsid w:val="007A7987"/>
    <w:rsid w:val="007B38A9"/>
    <w:rsid w:val="007B5401"/>
    <w:rsid w:val="007B58CB"/>
    <w:rsid w:val="007B6B3F"/>
    <w:rsid w:val="007B7011"/>
    <w:rsid w:val="007C3BF2"/>
    <w:rsid w:val="007C467D"/>
    <w:rsid w:val="007C56ED"/>
    <w:rsid w:val="007C5C5F"/>
    <w:rsid w:val="007C65C5"/>
    <w:rsid w:val="007C766F"/>
    <w:rsid w:val="007D11CD"/>
    <w:rsid w:val="007D238D"/>
    <w:rsid w:val="007D2CC3"/>
    <w:rsid w:val="007D5742"/>
    <w:rsid w:val="007D6A57"/>
    <w:rsid w:val="007E3A31"/>
    <w:rsid w:val="007E4976"/>
    <w:rsid w:val="007E6D39"/>
    <w:rsid w:val="007F317C"/>
    <w:rsid w:val="007F4AEB"/>
    <w:rsid w:val="007F4EFD"/>
    <w:rsid w:val="007F5CFB"/>
    <w:rsid w:val="008006D8"/>
    <w:rsid w:val="00801DCF"/>
    <w:rsid w:val="00805227"/>
    <w:rsid w:val="00805483"/>
    <w:rsid w:val="0081028E"/>
    <w:rsid w:val="00811C57"/>
    <w:rsid w:val="008129C9"/>
    <w:rsid w:val="008141DC"/>
    <w:rsid w:val="0081492B"/>
    <w:rsid w:val="00814C97"/>
    <w:rsid w:val="00815DC0"/>
    <w:rsid w:val="00816846"/>
    <w:rsid w:val="0081741B"/>
    <w:rsid w:val="00825F82"/>
    <w:rsid w:val="0082700B"/>
    <w:rsid w:val="0082760B"/>
    <w:rsid w:val="008309E4"/>
    <w:rsid w:val="00831BB7"/>
    <w:rsid w:val="008328C4"/>
    <w:rsid w:val="00834ACD"/>
    <w:rsid w:val="00835C94"/>
    <w:rsid w:val="00837539"/>
    <w:rsid w:val="00837A5E"/>
    <w:rsid w:val="00841590"/>
    <w:rsid w:val="0084387B"/>
    <w:rsid w:val="00843F3B"/>
    <w:rsid w:val="00846B4B"/>
    <w:rsid w:val="00846D04"/>
    <w:rsid w:val="008476A7"/>
    <w:rsid w:val="00847F91"/>
    <w:rsid w:val="00851B4F"/>
    <w:rsid w:val="00853482"/>
    <w:rsid w:val="0085421B"/>
    <w:rsid w:val="00855E2A"/>
    <w:rsid w:val="008571BB"/>
    <w:rsid w:val="0086096F"/>
    <w:rsid w:val="00861FC2"/>
    <w:rsid w:val="008634C0"/>
    <w:rsid w:val="00863BA4"/>
    <w:rsid w:val="00866439"/>
    <w:rsid w:val="0087056A"/>
    <w:rsid w:val="00870B30"/>
    <w:rsid w:val="008718FD"/>
    <w:rsid w:val="0087298A"/>
    <w:rsid w:val="00874210"/>
    <w:rsid w:val="00877167"/>
    <w:rsid w:val="008776B9"/>
    <w:rsid w:val="008778AD"/>
    <w:rsid w:val="0088481F"/>
    <w:rsid w:val="00885261"/>
    <w:rsid w:val="00885FC6"/>
    <w:rsid w:val="00886818"/>
    <w:rsid w:val="00887D94"/>
    <w:rsid w:val="0089123D"/>
    <w:rsid w:val="00894972"/>
    <w:rsid w:val="008A0662"/>
    <w:rsid w:val="008A1C02"/>
    <w:rsid w:val="008A342C"/>
    <w:rsid w:val="008A46DC"/>
    <w:rsid w:val="008A4DEB"/>
    <w:rsid w:val="008A53D6"/>
    <w:rsid w:val="008A6044"/>
    <w:rsid w:val="008A6FB1"/>
    <w:rsid w:val="008B0F32"/>
    <w:rsid w:val="008B2B7A"/>
    <w:rsid w:val="008B3F5F"/>
    <w:rsid w:val="008B5C22"/>
    <w:rsid w:val="008C09E4"/>
    <w:rsid w:val="008C2ACF"/>
    <w:rsid w:val="008C340F"/>
    <w:rsid w:val="008C6BCA"/>
    <w:rsid w:val="008C7D0A"/>
    <w:rsid w:val="008D0622"/>
    <w:rsid w:val="008D5C5F"/>
    <w:rsid w:val="008E25DB"/>
    <w:rsid w:val="008E3052"/>
    <w:rsid w:val="008E3DB1"/>
    <w:rsid w:val="008E4131"/>
    <w:rsid w:val="008E45EC"/>
    <w:rsid w:val="008E5728"/>
    <w:rsid w:val="008E5E03"/>
    <w:rsid w:val="008E6702"/>
    <w:rsid w:val="008F1676"/>
    <w:rsid w:val="008F2632"/>
    <w:rsid w:val="008F4779"/>
    <w:rsid w:val="008F5636"/>
    <w:rsid w:val="00901685"/>
    <w:rsid w:val="00902887"/>
    <w:rsid w:val="00903025"/>
    <w:rsid w:val="00903421"/>
    <w:rsid w:val="00903E7A"/>
    <w:rsid w:val="009046DD"/>
    <w:rsid w:val="0090609C"/>
    <w:rsid w:val="009104B7"/>
    <w:rsid w:val="00915E17"/>
    <w:rsid w:val="009168FF"/>
    <w:rsid w:val="00916C2D"/>
    <w:rsid w:val="009211C8"/>
    <w:rsid w:val="00921928"/>
    <w:rsid w:val="00924161"/>
    <w:rsid w:val="00931F15"/>
    <w:rsid w:val="0093287A"/>
    <w:rsid w:val="00932EB9"/>
    <w:rsid w:val="00935675"/>
    <w:rsid w:val="009358AD"/>
    <w:rsid w:val="00936F04"/>
    <w:rsid w:val="0094278D"/>
    <w:rsid w:val="00942D8E"/>
    <w:rsid w:val="00943F9F"/>
    <w:rsid w:val="00945082"/>
    <w:rsid w:val="00947ACD"/>
    <w:rsid w:val="00947CD8"/>
    <w:rsid w:val="00955347"/>
    <w:rsid w:val="00955A4F"/>
    <w:rsid w:val="00956604"/>
    <w:rsid w:val="00960159"/>
    <w:rsid w:val="00963CA4"/>
    <w:rsid w:val="00964661"/>
    <w:rsid w:val="0096504F"/>
    <w:rsid w:val="00965ECC"/>
    <w:rsid w:val="00966072"/>
    <w:rsid w:val="0096741A"/>
    <w:rsid w:val="0097161E"/>
    <w:rsid w:val="00971C24"/>
    <w:rsid w:val="00973277"/>
    <w:rsid w:val="009761E0"/>
    <w:rsid w:val="0098338B"/>
    <w:rsid w:val="00983E54"/>
    <w:rsid w:val="00984C25"/>
    <w:rsid w:val="00987378"/>
    <w:rsid w:val="0098760A"/>
    <w:rsid w:val="009879F1"/>
    <w:rsid w:val="00987B11"/>
    <w:rsid w:val="00992692"/>
    <w:rsid w:val="009928AF"/>
    <w:rsid w:val="00993B55"/>
    <w:rsid w:val="00993FED"/>
    <w:rsid w:val="00994C18"/>
    <w:rsid w:val="009958C1"/>
    <w:rsid w:val="0099716B"/>
    <w:rsid w:val="009A0D40"/>
    <w:rsid w:val="009A1126"/>
    <w:rsid w:val="009A4572"/>
    <w:rsid w:val="009A5013"/>
    <w:rsid w:val="009A5940"/>
    <w:rsid w:val="009B0609"/>
    <w:rsid w:val="009C0055"/>
    <w:rsid w:val="009C3FF2"/>
    <w:rsid w:val="009C4720"/>
    <w:rsid w:val="009C7A19"/>
    <w:rsid w:val="009D02F5"/>
    <w:rsid w:val="009D061E"/>
    <w:rsid w:val="009D224B"/>
    <w:rsid w:val="009D3E4A"/>
    <w:rsid w:val="009D4118"/>
    <w:rsid w:val="009D4A88"/>
    <w:rsid w:val="009D4BF8"/>
    <w:rsid w:val="009D575B"/>
    <w:rsid w:val="009D615F"/>
    <w:rsid w:val="009E0580"/>
    <w:rsid w:val="009E3E83"/>
    <w:rsid w:val="009E51CE"/>
    <w:rsid w:val="009E7591"/>
    <w:rsid w:val="009F0150"/>
    <w:rsid w:val="009F0C00"/>
    <w:rsid w:val="009F3395"/>
    <w:rsid w:val="009F45A6"/>
    <w:rsid w:val="00A0029C"/>
    <w:rsid w:val="00A0271C"/>
    <w:rsid w:val="00A04333"/>
    <w:rsid w:val="00A06512"/>
    <w:rsid w:val="00A071DF"/>
    <w:rsid w:val="00A0731B"/>
    <w:rsid w:val="00A10770"/>
    <w:rsid w:val="00A124F3"/>
    <w:rsid w:val="00A12935"/>
    <w:rsid w:val="00A16434"/>
    <w:rsid w:val="00A21028"/>
    <w:rsid w:val="00A21A3F"/>
    <w:rsid w:val="00A21FA3"/>
    <w:rsid w:val="00A227DD"/>
    <w:rsid w:val="00A22AB7"/>
    <w:rsid w:val="00A22AF6"/>
    <w:rsid w:val="00A22C62"/>
    <w:rsid w:val="00A27BBC"/>
    <w:rsid w:val="00A31C46"/>
    <w:rsid w:val="00A32A7B"/>
    <w:rsid w:val="00A433B2"/>
    <w:rsid w:val="00A45193"/>
    <w:rsid w:val="00A4567D"/>
    <w:rsid w:val="00A45B37"/>
    <w:rsid w:val="00A502F8"/>
    <w:rsid w:val="00A516B0"/>
    <w:rsid w:val="00A5173D"/>
    <w:rsid w:val="00A55FF3"/>
    <w:rsid w:val="00A61370"/>
    <w:rsid w:val="00A61E9E"/>
    <w:rsid w:val="00A628BA"/>
    <w:rsid w:val="00A651B7"/>
    <w:rsid w:val="00A65201"/>
    <w:rsid w:val="00A712B6"/>
    <w:rsid w:val="00A71599"/>
    <w:rsid w:val="00A71797"/>
    <w:rsid w:val="00A73614"/>
    <w:rsid w:val="00A75672"/>
    <w:rsid w:val="00A76DEB"/>
    <w:rsid w:val="00A77B5D"/>
    <w:rsid w:val="00A808A8"/>
    <w:rsid w:val="00A829D9"/>
    <w:rsid w:val="00A82D65"/>
    <w:rsid w:val="00A84009"/>
    <w:rsid w:val="00A85702"/>
    <w:rsid w:val="00A9085C"/>
    <w:rsid w:val="00A909FF"/>
    <w:rsid w:val="00A921DD"/>
    <w:rsid w:val="00A95DBF"/>
    <w:rsid w:val="00A96130"/>
    <w:rsid w:val="00AA0630"/>
    <w:rsid w:val="00AA171D"/>
    <w:rsid w:val="00AA3ED1"/>
    <w:rsid w:val="00AA4918"/>
    <w:rsid w:val="00AA4F37"/>
    <w:rsid w:val="00AA572B"/>
    <w:rsid w:val="00AA5BA8"/>
    <w:rsid w:val="00AB0492"/>
    <w:rsid w:val="00AB16B1"/>
    <w:rsid w:val="00AB1FAE"/>
    <w:rsid w:val="00AB206B"/>
    <w:rsid w:val="00AB2423"/>
    <w:rsid w:val="00AB3F29"/>
    <w:rsid w:val="00AC0E4E"/>
    <w:rsid w:val="00AC36ED"/>
    <w:rsid w:val="00AC5BE1"/>
    <w:rsid w:val="00AD1523"/>
    <w:rsid w:val="00AD1A2C"/>
    <w:rsid w:val="00AD7662"/>
    <w:rsid w:val="00AD7E9C"/>
    <w:rsid w:val="00AE0FEF"/>
    <w:rsid w:val="00AE237B"/>
    <w:rsid w:val="00AE3EAD"/>
    <w:rsid w:val="00AE4771"/>
    <w:rsid w:val="00AE5720"/>
    <w:rsid w:val="00AE6FF0"/>
    <w:rsid w:val="00AF357E"/>
    <w:rsid w:val="00AF4232"/>
    <w:rsid w:val="00AF442E"/>
    <w:rsid w:val="00AF5741"/>
    <w:rsid w:val="00B028A6"/>
    <w:rsid w:val="00B1061A"/>
    <w:rsid w:val="00B118F1"/>
    <w:rsid w:val="00B12BBD"/>
    <w:rsid w:val="00B13364"/>
    <w:rsid w:val="00B145EE"/>
    <w:rsid w:val="00B145F8"/>
    <w:rsid w:val="00B14720"/>
    <w:rsid w:val="00B229FC"/>
    <w:rsid w:val="00B26271"/>
    <w:rsid w:val="00B26AA0"/>
    <w:rsid w:val="00B27C59"/>
    <w:rsid w:val="00B342BE"/>
    <w:rsid w:val="00B34B02"/>
    <w:rsid w:val="00B35E31"/>
    <w:rsid w:val="00B37440"/>
    <w:rsid w:val="00B4335B"/>
    <w:rsid w:val="00B43723"/>
    <w:rsid w:val="00B44E8F"/>
    <w:rsid w:val="00B45BF1"/>
    <w:rsid w:val="00B50240"/>
    <w:rsid w:val="00B50367"/>
    <w:rsid w:val="00B51A06"/>
    <w:rsid w:val="00B557E9"/>
    <w:rsid w:val="00B559A9"/>
    <w:rsid w:val="00B56625"/>
    <w:rsid w:val="00B57D0A"/>
    <w:rsid w:val="00B61B16"/>
    <w:rsid w:val="00B6335F"/>
    <w:rsid w:val="00B640C5"/>
    <w:rsid w:val="00B653A3"/>
    <w:rsid w:val="00B662BF"/>
    <w:rsid w:val="00B70DCE"/>
    <w:rsid w:val="00B70ECC"/>
    <w:rsid w:val="00B7128D"/>
    <w:rsid w:val="00B71773"/>
    <w:rsid w:val="00B72A41"/>
    <w:rsid w:val="00B7376B"/>
    <w:rsid w:val="00B742CA"/>
    <w:rsid w:val="00B7450D"/>
    <w:rsid w:val="00B74576"/>
    <w:rsid w:val="00B7670B"/>
    <w:rsid w:val="00B82776"/>
    <w:rsid w:val="00B82C55"/>
    <w:rsid w:val="00B913A2"/>
    <w:rsid w:val="00B9536F"/>
    <w:rsid w:val="00BA2C6F"/>
    <w:rsid w:val="00BA2D1E"/>
    <w:rsid w:val="00BA3602"/>
    <w:rsid w:val="00BB1855"/>
    <w:rsid w:val="00BB1C19"/>
    <w:rsid w:val="00BB1F8E"/>
    <w:rsid w:val="00BB48F8"/>
    <w:rsid w:val="00BB5993"/>
    <w:rsid w:val="00BB68A5"/>
    <w:rsid w:val="00BB6D6B"/>
    <w:rsid w:val="00BB74A2"/>
    <w:rsid w:val="00BB7BF8"/>
    <w:rsid w:val="00BB7EB8"/>
    <w:rsid w:val="00BC2CFC"/>
    <w:rsid w:val="00BC3879"/>
    <w:rsid w:val="00BC3E03"/>
    <w:rsid w:val="00BC5F5F"/>
    <w:rsid w:val="00BD267F"/>
    <w:rsid w:val="00BD2953"/>
    <w:rsid w:val="00BD36D1"/>
    <w:rsid w:val="00BD3FFF"/>
    <w:rsid w:val="00BE0675"/>
    <w:rsid w:val="00BE141B"/>
    <w:rsid w:val="00BE3154"/>
    <w:rsid w:val="00BE5EDD"/>
    <w:rsid w:val="00BF1068"/>
    <w:rsid w:val="00BF155A"/>
    <w:rsid w:val="00BF1863"/>
    <w:rsid w:val="00BF39D3"/>
    <w:rsid w:val="00BF5429"/>
    <w:rsid w:val="00C00B9C"/>
    <w:rsid w:val="00C018E0"/>
    <w:rsid w:val="00C064CA"/>
    <w:rsid w:val="00C06AD7"/>
    <w:rsid w:val="00C114D4"/>
    <w:rsid w:val="00C13764"/>
    <w:rsid w:val="00C150D9"/>
    <w:rsid w:val="00C15EA9"/>
    <w:rsid w:val="00C21B1B"/>
    <w:rsid w:val="00C2240A"/>
    <w:rsid w:val="00C22B5A"/>
    <w:rsid w:val="00C2498A"/>
    <w:rsid w:val="00C25279"/>
    <w:rsid w:val="00C26103"/>
    <w:rsid w:val="00C261B9"/>
    <w:rsid w:val="00C31867"/>
    <w:rsid w:val="00C377D0"/>
    <w:rsid w:val="00C37A24"/>
    <w:rsid w:val="00C40F8C"/>
    <w:rsid w:val="00C41464"/>
    <w:rsid w:val="00C42ABD"/>
    <w:rsid w:val="00C4365F"/>
    <w:rsid w:val="00C43DF5"/>
    <w:rsid w:val="00C43EB1"/>
    <w:rsid w:val="00C45617"/>
    <w:rsid w:val="00C45F43"/>
    <w:rsid w:val="00C47DE8"/>
    <w:rsid w:val="00C505AC"/>
    <w:rsid w:val="00C52221"/>
    <w:rsid w:val="00C55BEE"/>
    <w:rsid w:val="00C57FBE"/>
    <w:rsid w:val="00C57FF0"/>
    <w:rsid w:val="00C61B43"/>
    <w:rsid w:val="00C66948"/>
    <w:rsid w:val="00C7174C"/>
    <w:rsid w:val="00C721EA"/>
    <w:rsid w:val="00C722FD"/>
    <w:rsid w:val="00C725C8"/>
    <w:rsid w:val="00C726FE"/>
    <w:rsid w:val="00C72920"/>
    <w:rsid w:val="00C72CB3"/>
    <w:rsid w:val="00C7484E"/>
    <w:rsid w:val="00C74B9F"/>
    <w:rsid w:val="00C7534D"/>
    <w:rsid w:val="00C77E48"/>
    <w:rsid w:val="00C77FF3"/>
    <w:rsid w:val="00C80A1C"/>
    <w:rsid w:val="00C8248B"/>
    <w:rsid w:val="00C85D2C"/>
    <w:rsid w:val="00C86DC0"/>
    <w:rsid w:val="00C910BD"/>
    <w:rsid w:val="00C91D86"/>
    <w:rsid w:val="00C92CDB"/>
    <w:rsid w:val="00C93996"/>
    <w:rsid w:val="00C95F77"/>
    <w:rsid w:val="00C96374"/>
    <w:rsid w:val="00C97C1B"/>
    <w:rsid w:val="00CA072D"/>
    <w:rsid w:val="00CA1245"/>
    <w:rsid w:val="00CA1431"/>
    <w:rsid w:val="00CA1889"/>
    <w:rsid w:val="00CA3975"/>
    <w:rsid w:val="00CA4E56"/>
    <w:rsid w:val="00CA5B63"/>
    <w:rsid w:val="00CA6E10"/>
    <w:rsid w:val="00CB3D3C"/>
    <w:rsid w:val="00CB45A5"/>
    <w:rsid w:val="00CB5604"/>
    <w:rsid w:val="00CB61B3"/>
    <w:rsid w:val="00CB7E27"/>
    <w:rsid w:val="00CC2D7D"/>
    <w:rsid w:val="00CC4448"/>
    <w:rsid w:val="00CC65F8"/>
    <w:rsid w:val="00CD01EF"/>
    <w:rsid w:val="00CD33EA"/>
    <w:rsid w:val="00CE02A4"/>
    <w:rsid w:val="00CE0BDC"/>
    <w:rsid w:val="00CE1C01"/>
    <w:rsid w:val="00CE398E"/>
    <w:rsid w:val="00CE4898"/>
    <w:rsid w:val="00CE6140"/>
    <w:rsid w:val="00CE6961"/>
    <w:rsid w:val="00CE70D0"/>
    <w:rsid w:val="00CE75BA"/>
    <w:rsid w:val="00CF05A1"/>
    <w:rsid w:val="00CF22FC"/>
    <w:rsid w:val="00CF335C"/>
    <w:rsid w:val="00CF3D42"/>
    <w:rsid w:val="00CF5133"/>
    <w:rsid w:val="00CF566D"/>
    <w:rsid w:val="00CF6DF7"/>
    <w:rsid w:val="00D0027C"/>
    <w:rsid w:val="00D01308"/>
    <w:rsid w:val="00D01F38"/>
    <w:rsid w:val="00D043C8"/>
    <w:rsid w:val="00D05BB5"/>
    <w:rsid w:val="00D10C67"/>
    <w:rsid w:val="00D10D1A"/>
    <w:rsid w:val="00D116A3"/>
    <w:rsid w:val="00D11EE2"/>
    <w:rsid w:val="00D1293A"/>
    <w:rsid w:val="00D13231"/>
    <w:rsid w:val="00D1395B"/>
    <w:rsid w:val="00D15D28"/>
    <w:rsid w:val="00D172D6"/>
    <w:rsid w:val="00D17BF2"/>
    <w:rsid w:val="00D2127B"/>
    <w:rsid w:val="00D258D1"/>
    <w:rsid w:val="00D2649D"/>
    <w:rsid w:val="00D274E3"/>
    <w:rsid w:val="00D278BC"/>
    <w:rsid w:val="00D27F8B"/>
    <w:rsid w:val="00D32E29"/>
    <w:rsid w:val="00D428E7"/>
    <w:rsid w:val="00D437F6"/>
    <w:rsid w:val="00D449AB"/>
    <w:rsid w:val="00D45FE0"/>
    <w:rsid w:val="00D47427"/>
    <w:rsid w:val="00D52524"/>
    <w:rsid w:val="00D52645"/>
    <w:rsid w:val="00D5326F"/>
    <w:rsid w:val="00D532F5"/>
    <w:rsid w:val="00D534FF"/>
    <w:rsid w:val="00D53CD1"/>
    <w:rsid w:val="00D542B2"/>
    <w:rsid w:val="00D56BAE"/>
    <w:rsid w:val="00D56FFB"/>
    <w:rsid w:val="00D57F4B"/>
    <w:rsid w:val="00D606D4"/>
    <w:rsid w:val="00D61ADB"/>
    <w:rsid w:val="00D627CA"/>
    <w:rsid w:val="00D64F4E"/>
    <w:rsid w:val="00D66EF9"/>
    <w:rsid w:val="00D67360"/>
    <w:rsid w:val="00D675F8"/>
    <w:rsid w:val="00D67942"/>
    <w:rsid w:val="00D72326"/>
    <w:rsid w:val="00D73326"/>
    <w:rsid w:val="00D74B96"/>
    <w:rsid w:val="00D77823"/>
    <w:rsid w:val="00D84024"/>
    <w:rsid w:val="00D84BBF"/>
    <w:rsid w:val="00D84FA0"/>
    <w:rsid w:val="00D859D3"/>
    <w:rsid w:val="00D86A08"/>
    <w:rsid w:val="00D91C9B"/>
    <w:rsid w:val="00D92C37"/>
    <w:rsid w:val="00D95101"/>
    <w:rsid w:val="00D97740"/>
    <w:rsid w:val="00D97A55"/>
    <w:rsid w:val="00DA2F61"/>
    <w:rsid w:val="00DA7141"/>
    <w:rsid w:val="00DB0C78"/>
    <w:rsid w:val="00DB394A"/>
    <w:rsid w:val="00DB39E9"/>
    <w:rsid w:val="00DB3F5B"/>
    <w:rsid w:val="00DC2578"/>
    <w:rsid w:val="00DC2734"/>
    <w:rsid w:val="00DC350A"/>
    <w:rsid w:val="00DC4827"/>
    <w:rsid w:val="00DC57AA"/>
    <w:rsid w:val="00DD0F9F"/>
    <w:rsid w:val="00DD43F7"/>
    <w:rsid w:val="00DD7A7D"/>
    <w:rsid w:val="00DE36D0"/>
    <w:rsid w:val="00DE506D"/>
    <w:rsid w:val="00DE5AEB"/>
    <w:rsid w:val="00DE79C9"/>
    <w:rsid w:val="00DF0C97"/>
    <w:rsid w:val="00DF27D4"/>
    <w:rsid w:val="00DF3053"/>
    <w:rsid w:val="00DF79DC"/>
    <w:rsid w:val="00E02CE1"/>
    <w:rsid w:val="00E02ECB"/>
    <w:rsid w:val="00E035C6"/>
    <w:rsid w:val="00E056FA"/>
    <w:rsid w:val="00E06385"/>
    <w:rsid w:val="00E0647B"/>
    <w:rsid w:val="00E070F0"/>
    <w:rsid w:val="00E105C7"/>
    <w:rsid w:val="00E105D2"/>
    <w:rsid w:val="00E10CE2"/>
    <w:rsid w:val="00E11BD5"/>
    <w:rsid w:val="00E15EA4"/>
    <w:rsid w:val="00E15F81"/>
    <w:rsid w:val="00E168C0"/>
    <w:rsid w:val="00E16B95"/>
    <w:rsid w:val="00E16DE1"/>
    <w:rsid w:val="00E175A4"/>
    <w:rsid w:val="00E20391"/>
    <w:rsid w:val="00E205B1"/>
    <w:rsid w:val="00E24406"/>
    <w:rsid w:val="00E24C22"/>
    <w:rsid w:val="00E24D56"/>
    <w:rsid w:val="00E26DE1"/>
    <w:rsid w:val="00E32901"/>
    <w:rsid w:val="00E36421"/>
    <w:rsid w:val="00E36BB2"/>
    <w:rsid w:val="00E37689"/>
    <w:rsid w:val="00E405EC"/>
    <w:rsid w:val="00E406BE"/>
    <w:rsid w:val="00E41F34"/>
    <w:rsid w:val="00E420D2"/>
    <w:rsid w:val="00E4340B"/>
    <w:rsid w:val="00E435E9"/>
    <w:rsid w:val="00E43672"/>
    <w:rsid w:val="00E47BF4"/>
    <w:rsid w:val="00E57CFE"/>
    <w:rsid w:val="00E61339"/>
    <w:rsid w:val="00E65620"/>
    <w:rsid w:val="00E65ECA"/>
    <w:rsid w:val="00E66483"/>
    <w:rsid w:val="00E66DAE"/>
    <w:rsid w:val="00E70DA3"/>
    <w:rsid w:val="00E70E49"/>
    <w:rsid w:val="00E70F05"/>
    <w:rsid w:val="00E71954"/>
    <w:rsid w:val="00E72DE8"/>
    <w:rsid w:val="00E73221"/>
    <w:rsid w:val="00E73E1B"/>
    <w:rsid w:val="00E74C1A"/>
    <w:rsid w:val="00E7553F"/>
    <w:rsid w:val="00E75F09"/>
    <w:rsid w:val="00E8012B"/>
    <w:rsid w:val="00E810FD"/>
    <w:rsid w:val="00E81D39"/>
    <w:rsid w:val="00E85FCB"/>
    <w:rsid w:val="00E876BF"/>
    <w:rsid w:val="00E91D82"/>
    <w:rsid w:val="00E934B0"/>
    <w:rsid w:val="00E94144"/>
    <w:rsid w:val="00E96480"/>
    <w:rsid w:val="00E9667B"/>
    <w:rsid w:val="00E97071"/>
    <w:rsid w:val="00EA0660"/>
    <w:rsid w:val="00EA163F"/>
    <w:rsid w:val="00EA2AF4"/>
    <w:rsid w:val="00EA2DB3"/>
    <w:rsid w:val="00EA5780"/>
    <w:rsid w:val="00EA5887"/>
    <w:rsid w:val="00EA66A1"/>
    <w:rsid w:val="00EA72C4"/>
    <w:rsid w:val="00EB0953"/>
    <w:rsid w:val="00EB7650"/>
    <w:rsid w:val="00EC41AE"/>
    <w:rsid w:val="00ED0E55"/>
    <w:rsid w:val="00ED326F"/>
    <w:rsid w:val="00ED49D4"/>
    <w:rsid w:val="00EE0469"/>
    <w:rsid w:val="00EE18B1"/>
    <w:rsid w:val="00EE2E5B"/>
    <w:rsid w:val="00EE6791"/>
    <w:rsid w:val="00EE69FC"/>
    <w:rsid w:val="00EE7066"/>
    <w:rsid w:val="00EF01EC"/>
    <w:rsid w:val="00EF1FC6"/>
    <w:rsid w:val="00EF36B8"/>
    <w:rsid w:val="00EF37DE"/>
    <w:rsid w:val="00EF3F42"/>
    <w:rsid w:val="00EF507A"/>
    <w:rsid w:val="00EF6355"/>
    <w:rsid w:val="00EF649C"/>
    <w:rsid w:val="00EF7712"/>
    <w:rsid w:val="00F0061E"/>
    <w:rsid w:val="00F015FC"/>
    <w:rsid w:val="00F02F77"/>
    <w:rsid w:val="00F04550"/>
    <w:rsid w:val="00F04AE3"/>
    <w:rsid w:val="00F0788B"/>
    <w:rsid w:val="00F07F24"/>
    <w:rsid w:val="00F14B75"/>
    <w:rsid w:val="00F22FC2"/>
    <w:rsid w:val="00F252B9"/>
    <w:rsid w:val="00F2579C"/>
    <w:rsid w:val="00F25F26"/>
    <w:rsid w:val="00F265ED"/>
    <w:rsid w:val="00F2746A"/>
    <w:rsid w:val="00F30482"/>
    <w:rsid w:val="00F316EE"/>
    <w:rsid w:val="00F31707"/>
    <w:rsid w:val="00F35348"/>
    <w:rsid w:val="00F35870"/>
    <w:rsid w:val="00F36523"/>
    <w:rsid w:val="00F36A3E"/>
    <w:rsid w:val="00F3748E"/>
    <w:rsid w:val="00F407FE"/>
    <w:rsid w:val="00F431CB"/>
    <w:rsid w:val="00F524A5"/>
    <w:rsid w:val="00F54AAE"/>
    <w:rsid w:val="00F5564B"/>
    <w:rsid w:val="00F60856"/>
    <w:rsid w:val="00F60D55"/>
    <w:rsid w:val="00F61E3E"/>
    <w:rsid w:val="00F620EE"/>
    <w:rsid w:val="00F63F95"/>
    <w:rsid w:val="00F646F3"/>
    <w:rsid w:val="00F65B69"/>
    <w:rsid w:val="00F71C90"/>
    <w:rsid w:val="00F72455"/>
    <w:rsid w:val="00F75955"/>
    <w:rsid w:val="00F804F1"/>
    <w:rsid w:val="00F8233C"/>
    <w:rsid w:val="00F8322F"/>
    <w:rsid w:val="00F8462A"/>
    <w:rsid w:val="00F85212"/>
    <w:rsid w:val="00F85927"/>
    <w:rsid w:val="00F85CC2"/>
    <w:rsid w:val="00F85DBD"/>
    <w:rsid w:val="00F92115"/>
    <w:rsid w:val="00F956AA"/>
    <w:rsid w:val="00FA1BDD"/>
    <w:rsid w:val="00FA2CEF"/>
    <w:rsid w:val="00FA59CB"/>
    <w:rsid w:val="00FA746B"/>
    <w:rsid w:val="00FB079D"/>
    <w:rsid w:val="00FB07FD"/>
    <w:rsid w:val="00FB286D"/>
    <w:rsid w:val="00FB2D4B"/>
    <w:rsid w:val="00FB3ED9"/>
    <w:rsid w:val="00FB44B0"/>
    <w:rsid w:val="00FB68D1"/>
    <w:rsid w:val="00FB6ADB"/>
    <w:rsid w:val="00FB7874"/>
    <w:rsid w:val="00FC42F6"/>
    <w:rsid w:val="00FC62C6"/>
    <w:rsid w:val="00FC67FE"/>
    <w:rsid w:val="00FC724A"/>
    <w:rsid w:val="00FC7DD8"/>
    <w:rsid w:val="00FD0762"/>
    <w:rsid w:val="00FD2508"/>
    <w:rsid w:val="00FD2E99"/>
    <w:rsid w:val="00FD33B0"/>
    <w:rsid w:val="00FD3458"/>
    <w:rsid w:val="00FE00ED"/>
    <w:rsid w:val="00FE46D0"/>
    <w:rsid w:val="00FE4C9E"/>
    <w:rsid w:val="00FE50D5"/>
    <w:rsid w:val="00FE569E"/>
    <w:rsid w:val="00FF24A6"/>
    <w:rsid w:val="00FF39AB"/>
    <w:rsid w:val="00FF4DC7"/>
    <w:rsid w:val="00FF55DA"/>
    <w:rsid w:val="00FF77E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6F620"/>
  <w15:docId w15:val="{03E8B26C-B2DE-D640-866C-651E247EC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1E9E"/>
  </w:style>
  <w:style w:type="paragraph" w:styleId="Heading1">
    <w:name w:val="heading 1"/>
    <w:basedOn w:val="Normal"/>
    <w:next w:val="Normal"/>
    <w:link w:val="Heading1Char"/>
    <w:uiPriority w:val="9"/>
    <w:qFormat/>
    <w:rsid w:val="00CB61B3"/>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B61B3"/>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B61B3"/>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B61B3"/>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CB61B3"/>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63CA4"/>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63CA4"/>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63CA4"/>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unhideWhenUsed/>
    <w:qFormat/>
    <w:rsid w:val="00963CA4"/>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24406"/>
    <w:pPr>
      <w:spacing w:after="0" w:line="240" w:lineRule="auto"/>
    </w:pPr>
    <w:rPr>
      <w:sz w:val="20"/>
    </w:rPr>
  </w:style>
  <w:style w:type="character" w:customStyle="1" w:styleId="FootnoteTextChar">
    <w:name w:val="Footnote Text Char"/>
    <w:basedOn w:val="DefaultParagraphFont"/>
    <w:link w:val="FootnoteText"/>
    <w:uiPriority w:val="99"/>
    <w:semiHidden/>
    <w:rsid w:val="00E24406"/>
    <w:rPr>
      <w:sz w:val="20"/>
      <w:szCs w:val="20"/>
    </w:rPr>
  </w:style>
  <w:style w:type="character" w:styleId="FootnoteReference">
    <w:name w:val="footnote reference"/>
    <w:basedOn w:val="DefaultParagraphFont"/>
    <w:uiPriority w:val="99"/>
    <w:semiHidden/>
    <w:unhideWhenUsed/>
    <w:rsid w:val="00E24406"/>
    <w:rPr>
      <w:vertAlign w:val="superscript"/>
    </w:rPr>
  </w:style>
  <w:style w:type="paragraph" w:styleId="BalloonText">
    <w:name w:val="Balloon Text"/>
    <w:basedOn w:val="Normal"/>
    <w:link w:val="BalloonTextChar"/>
    <w:uiPriority w:val="99"/>
    <w:semiHidden/>
    <w:unhideWhenUsed/>
    <w:rsid w:val="00E75F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5F09"/>
    <w:rPr>
      <w:rFonts w:ascii="Tahoma" w:hAnsi="Tahoma" w:cs="Tahoma"/>
      <w:sz w:val="16"/>
      <w:szCs w:val="16"/>
    </w:rPr>
  </w:style>
  <w:style w:type="character" w:styleId="Hyperlink">
    <w:name w:val="Hyperlink"/>
    <w:basedOn w:val="DefaultParagraphFont"/>
    <w:uiPriority w:val="99"/>
    <w:unhideWhenUsed/>
    <w:rsid w:val="00272021"/>
    <w:rPr>
      <w:color w:val="0000FF" w:themeColor="hyperlink"/>
      <w:u w:val="single"/>
    </w:rPr>
  </w:style>
  <w:style w:type="character" w:customStyle="1" w:styleId="A0">
    <w:name w:val="A0"/>
    <w:uiPriority w:val="99"/>
    <w:rsid w:val="00B37440"/>
    <w:rPr>
      <w:rFonts w:cs="Neo Sans Pro Light"/>
      <w:color w:val="000000"/>
      <w:sz w:val="35"/>
      <w:szCs w:val="35"/>
    </w:rPr>
  </w:style>
  <w:style w:type="character" w:customStyle="1" w:styleId="Heading1Char">
    <w:name w:val="Heading 1 Char"/>
    <w:basedOn w:val="DefaultParagraphFont"/>
    <w:link w:val="Heading1"/>
    <w:uiPriority w:val="9"/>
    <w:rsid w:val="00CB61B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B61B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B61B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CB61B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CB61B3"/>
    <w:rPr>
      <w:rFonts w:asciiTheme="majorHAnsi" w:eastAsiaTheme="majorEastAsia" w:hAnsiTheme="majorHAnsi" w:cstheme="majorBidi"/>
      <w:color w:val="243F60" w:themeColor="accent1" w:themeShade="7F"/>
    </w:rPr>
  </w:style>
  <w:style w:type="paragraph" w:styleId="NoSpacing">
    <w:name w:val="No Spacing"/>
    <w:uiPriority w:val="1"/>
    <w:qFormat/>
    <w:rsid w:val="00CB61B3"/>
    <w:pPr>
      <w:spacing w:after="0" w:line="240" w:lineRule="auto"/>
    </w:pPr>
  </w:style>
  <w:style w:type="table" w:styleId="TableGrid">
    <w:name w:val="Table Grid"/>
    <w:basedOn w:val="TableNormal"/>
    <w:uiPriority w:val="59"/>
    <w:rsid w:val="000C4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A34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342C"/>
  </w:style>
  <w:style w:type="paragraph" w:styleId="Footer">
    <w:name w:val="footer"/>
    <w:basedOn w:val="Normal"/>
    <w:link w:val="FooterChar"/>
    <w:uiPriority w:val="99"/>
    <w:unhideWhenUsed/>
    <w:rsid w:val="008A34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342C"/>
  </w:style>
  <w:style w:type="paragraph" w:styleId="ListParagraph">
    <w:name w:val="List Paragraph"/>
    <w:basedOn w:val="Normal"/>
    <w:uiPriority w:val="34"/>
    <w:qFormat/>
    <w:rsid w:val="000702E6"/>
    <w:pPr>
      <w:ind w:left="720"/>
      <w:contextualSpacing/>
    </w:pPr>
    <w:rPr>
      <w:rFonts w:asciiTheme="minorHAnsi" w:hAnsiTheme="minorHAnsi" w:cstheme="minorBidi"/>
      <w:sz w:val="22"/>
      <w:szCs w:val="22"/>
    </w:rPr>
  </w:style>
  <w:style w:type="character" w:customStyle="1" w:styleId="Heading6Char">
    <w:name w:val="Heading 6 Char"/>
    <w:basedOn w:val="DefaultParagraphFont"/>
    <w:link w:val="Heading6"/>
    <w:uiPriority w:val="9"/>
    <w:semiHidden/>
    <w:rsid w:val="00963CA4"/>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63CA4"/>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63CA4"/>
    <w:rPr>
      <w:rFonts w:asciiTheme="majorHAnsi" w:eastAsiaTheme="majorEastAsia" w:hAnsiTheme="majorHAnsi" w:cstheme="majorBidi"/>
      <w:color w:val="404040" w:themeColor="text1" w:themeTint="BF"/>
      <w:sz w:val="20"/>
    </w:rPr>
  </w:style>
  <w:style w:type="character" w:customStyle="1" w:styleId="Heading9Char">
    <w:name w:val="Heading 9 Char"/>
    <w:basedOn w:val="DefaultParagraphFont"/>
    <w:link w:val="Heading9"/>
    <w:uiPriority w:val="9"/>
    <w:semiHidden/>
    <w:rsid w:val="00963CA4"/>
    <w:rPr>
      <w:rFonts w:asciiTheme="majorHAnsi" w:eastAsiaTheme="majorEastAsia" w:hAnsiTheme="majorHAnsi" w:cstheme="majorBidi"/>
      <w:i/>
      <w:iCs/>
      <w:color w:val="404040" w:themeColor="text1" w:themeTint="BF"/>
      <w:sz w:val="20"/>
    </w:rPr>
  </w:style>
  <w:style w:type="paragraph" w:styleId="EndnoteText">
    <w:name w:val="endnote text"/>
    <w:basedOn w:val="Normal"/>
    <w:link w:val="EndnoteTextChar"/>
    <w:uiPriority w:val="99"/>
    <w:semiHidden/>
    <w:unhideWhenUsed/>
    <w:rsid w:val="002C4CEB"/>
    <w:pPr>
      <w:spacing w:after="0" w:line="240" w:lineRule="auto"/>
    </w:pPr>
    <w:rPr>
      <w:sz w:val="20"/>
    </w:rPr>
  </w:style>
  <w:style w:type="character" w:customStyle="1" w:styleId="EndnoteTextChar">
    <w:name w:val="Endnote Text Char"/>
    <w:basedOn w:val="DefaultParagraphFont"/>
    <w:link w:val="EndnoteText"/>
    <w:uiPriority w:val="99"/>
    <w:semiHidden/>
    <w:rsid w:val="002C4CEB"/>
    <w:rPr>
      <w:sz w:val="20"/>
    </w:rPr>
  </w:style>
  <w:style w:type="character" w:styleId="EndnoteReference">
    <w:name w:val="endnote reference"/>
    <w:basedOn w:val="DefaultParagraphFont"/>
    <w:uiPriority w:val="99"/>
    <w:semiHidden/>
    <w:unhideWhenUsed/>
    <w:rsid w:val="002C4CEB"/>
    <w:rPr>
      <w:vertAlign w:val="superscript"/>
    </w:rPr>
  </w:style>
  <w:style w:type="character" w:customStyle="1" w:styleId="field-content">
    <w:name w:val="field-content"/>
    <w:basedOn w:val="DefaultParagraphFont"/>
    <w:rsid w:val="00255DBB"/>
  </w:style>
  <w:style w:type="paragraph" w:styleId="BodyText">
    <w:name w:val="Body Text"/>
    <w:basedOn w:val="Normal"/>
    <w:link w:val="BodyTextChar"/>
    <w:uiPriority w:val="99"/>
    <w:rsid w:val="00583B06"/>
    <w:pPr>
      <w:spacing w:after="0" w:line="360" w:lineRule="auto"/>
      <w:jc w:val="both"/>
    </w:pPr>
    <w:rPr>
      <w:rFonts w:eastAsia="Times New Roman"/>
      <w:sz w:val="26"/>
      <w:szCs w:val="26"/>
      <w:lang w:val="en-US"/>
    </w:rPr>
  </w:style>
  <w:style w:type="character" w:customStyle="1" w:styleId="BodyTextChar">
    <w:name w:val="Body Text Char"/>
    <w:basedOn w:val="DefaultParagraphFont"/>
    <w:link w:val="BodyText"/>
    <w:uiPriority w:val="99"/>
    <w:rsid w:val="00583B06"/>
    <w:rPr>
      <w:rFonts w:eastAsia="Times New Roman"/>
      <w:sz w:val="26"/>
      <w:szCs w:val="26"/>
      <w:lang w:val="en-US"/>
    </w:rPr>
  </w:style>
  <w:style w:type="paragraph" w:styleId="Subtitle">
    <w:name w:val="Subtitle"/>
    <w:basedOn w:val="Normal"/>
    <w:next w:val="Normal"/>
    <w:link w:val="SubtitleChar"/>
    <w:uiPriority w:val="11"/>
    <w:qFormat/>
    <w:rsid w:val="00D52524"/>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D52524"/>
    <w:rPr>
      <w:rFonts w:asciiTheme="majorHAnsi" w:eastAsiaTheme="majorEastAsia" w:hAnsiTheme="majorHAnsi" w:cstheme="majorBidi"/>
      <w:i/>
      <w:iCs/>
      <w:color w:val="4F81BD" w:themeColor="accent1"/>
      <w:spacing w:val="15"/>
      <w:szCs w:val="24"/>
    </w:rPr>
  </w:style>
  <w:style w:type="paragraph" w:styleId="NormalWeb">
    <w:name w:val="Normal (Web)"/>
    <w:basedOn w:val="Normal"/>
    <w:uiPriority w:val="99"/>
    <w:semiHidden/>
    <w:unhideWhenUsed/>
    <w:rsid w:val="00EF01EC"/>
    <w:pPr>
      <w:spacing w:before="100" w:beforeAutospacing="1" w:after="100" w:afterAutospacing="1" w:line="240" w:lineRule="auto"/>
    </w:pPr>
    <w:rPr>
      <w:rFonts w:eastAsia="Times New Roman"/>
      <w:szCs w:val="24"/>
      <w:lang w:eastAsia="en-IN"/>
    </w:rPr>
  </w:style>
  <w:style w:type="character" w:styleId="Emphasis">
    <w:name w:val="Emphasis"/>
    <w:basedOn w:val="DefaultParagraphFont"/>
    <w:uiPriority w:val="20"/>
    <w:qFormat/>
    <w:rsid w:val="006A709F"/>
    <w:rPr>
      <w:i/>
      <w:iCs/>
    </w:rPr>
  </w:style>
  <w:style w:type="character" w:styleId="Strong">
    <w:name w:val="Strong"/>
    <w:basedOn w:val="DefaultParagraphFont"/>
    <w:uiPriority w:val="22"/>
    <w:qFormat/>
    <w:rsid w:val="00F823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512165">
      <w:bodyDiv w:val="1"/>
      <w:marLeft w:val="0"/>
      <w:marRight w:val="0"/>
      <w:marTop w:val="0"/>
      <w:marBottom w:val="0"/>
      <w:divBdr>
        <w:top w:val="none" w:sz="0" w:space="0" w:color="auto"/>
        <w:left w:val="none" w:sz="0" w:space="0" w:color="auto"/>
        <w:bottom w:val="none" w:sz="0" w:space="0" w:color="auto"/>
        <w:right w:val="none" w:sz="0" w:space="0" w:color="auto"/>
      </w:divBdr>
    </w:div>
    <w:div w:id="681206735">
      <w:bodyDiv w:val="1"/>
      <w:marLeft w:val="0"/>
      <w:marRight w:val="0"/>
      <w:marTop w:val="0"/>
      <w:marBottom w:val="0"/>
      <w:divBdr>
        <w:top w:val="none" w:sz="0" w:space="0" w:color="auto"/>
        <w:left w:val="none" w:sz="0" w:space="0" w:color="auto"/>
        <w:bottom w:val="none" w:sz="0" w:space="0" w:color="auto"/>
        <w:right w:val="none" w:sz="0" w:space="0" w:color="auto"/>
      </w:divBdr>
    </w:div>
    <w:div w:id="973561245">
      <w:bodyDiv w:val="1"/>
      <w:marLeft w:val="0"/>
      <w:marRight w:val="0"/>
      <w:marTop w:val="0"/>
      <w:marBottom w:val="0"/>
      <w:divBdr>
        <w:top w:val="none" w:sz="0" w:space="0" w:color="auto"/>
        <w:left w:val="none" w:sz="0" w:space="0" w:color="auto"/>
        <w:bottom w:val="none" w:sz="0" w:space="0" w:color="auto"/>
        <w:right w:val="none" w:sz="0" w:space="0" w:color="auto"/>
      </w:divBdr>
    </w:div>
    <w:div w:id="992828615">
      <w:bodyDiv w:val="1"/>
      <w:marLeft w:val="0"/>
      <w:marRight w:val="0"/>
      <w:marTop w:val="0"/>
      <w:marBottom w:val="0"/>
      <w:divBdr>
        <w:top w:val="none" w:sz="0" w:space="0" w:color="auto"/>
        <w:left w:val="none" w:sz="0" w:space="0" w:color="auto"/>
        <w:bottom w:val="none" w:sz="0" w:space="0" w:color="auto"/>
        <w:right w:val="none" w:sz="0" w:space="0" w:color="auto"/>
      </w:divBdr>
    </w:div>
    <w:div w:id="1263760077">
      <w:bodyDiv w:val="1"/>
      <w:marLeft w:val="0"/>
      <w:marRight w:val="0"/>
      <w:marTop w:val="0"/>
      <w:marBottom w:val="0"/>
      <w:divBdr>
        <w:top w:val="none" w:sz="0" w:space="0" w:color="auto"/>
        <w:left w:val="none" w:sz="0" w:space="0" w:color="auto"/>
        <w:bottom w:val="none" w:sz="0" w:space="0" w:color="auto"/>
        <w:right w:val="none" w:sz="0" w:space="0" w:color="auto"/>
      </w:divBdr>
    </w:div>
    <w:div w:id="1479490431">
      <w:bodyDiv w:val="1"/>
      <w:marLeft w:val="0"/>
      <w:marRight w:val="0"/>
      <w:marTop w:val="0"/>
      <w:marBottom w:val="0"/>
      <w:divBdr>
        <w:top w:val="none" w:sz="0" w:space="0" w:color="auto"/>
        <w:left w:val="none" w:sz="0" w:space="0" w:color="auto"/>
        <w:bottom w:val="none" w:sz="0" w:space="0" w:color="auto"/>
        <w:right w:val="none" w:sz="0" w:space="0" w:color="auto"/>
      </w:divBdr>
    </w:div>
    <w:div w:id="1659722832">
      <w:bodyDiv w:val="1"/>
      <w:marLeft w:val="0"/>
      <w:marRight w:val="0"/>
      <w:marTop w:val="0"/>
      <w:marBottom w:val="0"/>
      <w:divBdr>
        <w:top w:val="none" w:sz="0" w:space="0" w:color="auto"/>
        <w:left w:val="none" w:sz="0" w:space="0" w:color="auto"/>
        <w:bottom w:val="none" w:sz="0" w:space="0" w:color="auto"/>
        <w:right w:val="none" w:sz="0" w:space="0" w:color="auto"/>
      </w:divBdr>
    </w:div>
    <w:div w:id="2123576106">
      <w:bodyDiv w:val="1"/>
      <w:marLeft w:val="0"/>
      <w:marRight w:val="0"/>
      <w:marTop w:val="0"/>
      <w:marBottom w:val="0"/>
      <w:divBdr>
        <w:top w:val="none" w:sz="0" w:space="0" w:color="auto"/>
        <w:left w:val="none" w:sz="0" w:space="0" w:color="auto"/>
        <w:bottom w:val="none" w:sz="0" w:space="0" w:color="auto"/>
        <w:right w:val="none" w:sz="0" w:space="0" w:color="auto"/>
      </w:divBdr>
      <w:divsChild>
        <w:div w:id="20167648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s://blogs.worldbank.org/team/michal-rutkowski" TargetMode="External"/><Relationship Id="rId2" Type="http://schemas.openxmlformats.org/officeDocument/2006/relationships/hyperlink" Target="https://blogs.worldbank.org/team/johannes-koettl" TargetMode="External"/><Relationship Id="rId1" Type="http://schemas.openxmlformats.org/officeDocument/2006/relationships/hyperlink" Target="https://blogs.worldbank.org/team/michal-rutkowski" TargetMode="External"/><Relationship Id="rId4" Type="http://schemas.openxmlformats.org/officeDocument/2006/relationships/hyperlink" Target="https://blogs.worldbank.org/team/johannes-koett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C6B337DF-671E-455F-9A51-45AAFC2703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14</Pages>
  <Words>3856</Words>
  <Characters>21985</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MD MISBAHUDDIN ANSARI</cp:lastModifiedBy>
  <cp:revision>6</cp:revision>
  <dcterms:created xsi:type="dcterms:W3CDTF">2023-04-06T15:46:00Z</dcterms:created>
  <dcterms:modified xsi:type="dcterms:W3CDTF">2023-04-06T21:21:00Z</dcterms:modified>
</cp:coreProperties>
</file>